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0B52" w14:textId="77777777" w:rsidR="00AB55F1" w:rsidRDefault="00AB55F1" w:rsidP="00AB55F1">
      <w:pPr>
        <w:spacing w:after="0"/>
        <w:jc w:val="center"/>
        <w:rPr>
          <w:b/>
          <w:bCs/>
        </w:rPr>
      </w:pPr>
    </w:p>
    <w:p w14:paraId="025A1671" w14:textId="77777777" w:rsidR="00AB55F1" w:rsidRDefault="00AB55F1" w:rsidP="00AB55F1">
      <w:pPr>
        <w:spacing w:after="0"/>
        <w:jc w:val="center"/>
        <w:rPr>
          <w:b/>
          <w:bCs/>
        </w:rPr>
      </w:pPr>
    </w:p>
    <w:p w14:paraId="1CF34EDD" w14:textId="1A9D2706" w:rsidR="00AB55F1" w:rsidRDefault="00AB55F1" w:rsidP="00AB55F1">
      <w:pPr>
        <w:spacing w:after="0"/>
        <w:jc w:val="center"/>
        <w:rPr>
          <w:b/>
          <w:bCs/>
        </w:rPr>
      </w:pPr>
    </w:p>
    <w:p w14:paraId="19EECAE1" w14:textId="77777777" w:rsidR="00AB55F1" w:rsidRDefault="00AB55F1" w:rsidP="00AB55F1">
      <w:pPr>
        <w:spacing w:after="0"/>
        <w:jc w:val="center"/>
        <w:rPr>
          <w:b/>
          <w:bCs/>
        </w:rPr>
      </w:pPr>
    </w:p>
    <w:p w14:paraId="6AD239F2" w14:textId="551B8CBF" w:rsidR="00371782" w:rsidRPr="00E465D0" w:rsidRDefault="00371782" w:rsidP="00AB55F1">
      <w:pPr>
        <w:spacing w:after="0"/>
        <w:jc w:val="center"/>
        <w:rPr>
          <w:b/>
          <w:bCs/>
        </w:rPr>
      </w:pPr>
      <w:r w:rsidRPr="00E465D0">
        <w:rPr>
          <w:b/>
          <w:bCs/>
        </w:rPr>
        <w:t>Telework</w:t>
      </w:r>
      <w:r w:rsidR="005436E3" w:rsidRPr="00E465D0">
        <w:rPr>
          <w:b/>
          <w:bCs/>
        </w:rPr>
        <w:t>-</w:t>
      </w:r>
      <w:r w:rsidRPr="00E465D0">
        <w:rPr>
          <w:b/>
          <w:bCs/>
        </w:rPr>
        <w:t>to</w:t>
      </w:r>
      <w:r w:rsidR="005436E3" w:rsidRPr="00E465D0">
        <w:rPr>
          <w:b/>
          <w:bCs/>
        </w:rPr>
        <w:t>-</w:t>
      </w:r>
      <w:r w:rsidRPr="00E465D0">
        <w:rPr>
          <w:b/>
          <w:bCs/>
        </w:rPr>
        <w:t>Play or Play</w:t>
      </w:r>
      <w:r w:rsidR="005436E3" w:rsidRPr="00E465D0">
        <w:rPr>
          <w:b/>
          <w:bCs/>
        </w:rPr>
        <w:t>-to-</w:t>
      </w:r>
      <w:r w:rsidRPr="00E465D0">
        <w:rPr>
          <w:b/>
          <w:bCs/>
        </w:rPr>
        <w:t xml:space="preserve">Telework? </w:t>
      </w:r>
      <w:r w:rsidR="005436E3" w:rsidRPr="00E465D0">
        <w:rPr>
          <w:b/>
          <w:bCs/>
        </w:rPr>
        <w:t>Investigating</w:t>
      </w:r>
      <w:r w:rsidRPr="00E465D0">
        <w:rPr>
          <w:b/>
          <w:bCs/>
        </w:rPr>
        <w:t xml:space="preserve"> the </w:t>
      </w:r>
      <w:r w:rsidR="005436E3" w:rsidRPr="00E465D0">
        <w:rPr>
          <w:b/>
          <w:bCs/>
        </w:rPr>
        <w:t xml:space="preserve">Directional </w:t>
      </w:r>
      <w:r w:rsidRPr="00E465D0">
        <w:rPr>
          <w:b/>
          <w:bCs/>
        </w:rPr>
        <w:t>Relationship Between Telework and Nonwork Travel</w:t>
      </w:r>
    </w:p>
    <w:p w14:paraId="3D6ABA0C" w14:textId="3D2525BD" w:rsidR="00AB55F1" w:rsidRDefault="00AB55F1" w:rsidP="00AB55F1">
      <w:pPr>
        <w:spacing w:after="0"/>
        <w:jc w:val="center"/>
      </w:pPr>
    </w:p>
    <w:p w14:paraId="55259901" w14:textId="1E6B90EF" w:rsidR="00AB55F1" w:rsidRDefault="00AB55F1" w:rsidP="00AB55F1">
      <w:pPr>
        <w:spacing w:after="0"/>
        <w:jc w:val="center"/>
      </w:pPr>
    </w:p>
    <w:p w14:paraId="1FA3E4F0" w14:textId="6D9282EF" w:rsidR="00AB55F1" w:rsidRDefault="00AB55F1" w:rsidP="00AB55F1">
      <w:pPr>
        <w:spacing w:after="0"/>
        <w:jc w:val="center"/>
      </w:pPr>
    </w:p>
    <w:p w14:paraId="28B5EA0F" w14:textId="65E11631" w:rsidR="00AB55F1" w:rsidRDefault="00AB55F1" w:rsidP="00AB55F1">
      <w:pPr>
        <w:spacing w:after="0"/>
        <w:jc w:val="center"/>
      </w:pPr>
    </w:p>
    <w:p w14:paraId="071D405A" w14:textId="78E9C7F7" w:rsidR="00AB55F1" w:rsidRDefault="00AB55F1" w:rsidP="00AB55F1">
      <w:pPr>
        <w:spacing w:after="0"/>
        <w:jc w:val="center"/>
      </w:pPr>
    </w:p>
    <w:p w14:paraId="3BA951B5" w14:textId="77777777" w:rsidR="00AB55F1" w:rsidRDefault="00AB55F1" w:rsidP="00AB55F1">
      <w:pPr>
        <w:spacing w:after="0"/>
        <w:jc w:val="center"/>
      </w:pPr>
    </w:p>
    <w:p w14:paraId="469D4642" w14:textId="77777777" w:rsidR="00AB55F1" w:rsidRDefault="00AB55F1" w:rsidP="00AB55F1">
      <w:pPr>
        <w:spacing w:after="0"/>
        <w:jc w:val="center"/>
      </w:pPr>
    </w:p>
    <w:p w14:paraId="7A9D17EF" w14:textId="77AC377D" w:rsidR="00AB55F1" w:rsidRDefault="00AB55F1" w:rsidP="00AB55F1">
      <w:pPr>
        <w:spacing w:after="0"/>
        <w:jc w:val="center"/>
      </w:pPr>
    </w:p>
    <w:p w14:paraId="24D9A66E" w14:textId="77777777" w:rsidR="00AB55F1" w:rsidRDefault="00AB55F1" w:rsidP="00AB55F1">
      <w:pPr>
        <w:spacing w:after="0"/>
        <w:jc w:val="center"/>
      </w:pPr>
    </w:p>
    <w:p w14:paraId="7FF1881E" w14:textId="23C5F270" w:rsidR="00AB55F1" w:rsidRPr="007E6974" w:rsidRDefault="00AB55F1" w:rsidP="00AB55F1">
      <w:pPr>
        <w:spacing w:after="0"/>
        <w:jc w:val="center"/>
        <w:rPr>
          <w:b/>
          <w:bCs/>
        </w:rPr>
      </w:pPr>
      <w:r w:rsidRPr="007E6974">
        <w:rPr>
          <w:b/>
          <w:bCs/>
        </w:rPr>
        <w:t>Katherine E. Asmussen</w:t>
      </w:r>
    </w:p>
    <w:p w14:paraId="6FFFD51E" w14:textId="77777777" w:rsidR="00AB55F1" w:rsidRPr="007E6974" w:rsidRDefault="00AB55F1" w:rsidP="00AB55F1">
      <w:pPr>
        <w:spacing w:after="0"/>
        <w:jc w:val="center"/>
        <w:rPr>
          <w:bCs/>
        </w:rPr>
      </w:pPr>
      <w:r w:rsidRPr="007E6974">
        <w:t>The University of Texas at Austin</w:t>
      </w:r>
    </w:p>
    <w:p w14:paraId="449FCF9E" w14:textId="77777777" w:rsidR="00AB55F1" w:rsidRPr="007E6974" w:rsidRDefault="00AB55F1" w:rsidP="00AB55F1">
      <w:pPr>
        <w:spacing w:after="0"/>
        <w:jc w:val="center"/>
        <w:rPr>
          <w:bCs/>
        </w:rPr>
      </w:pPr>
      <w:r w:rsidRPr="007E6974">
        <w:t>Department of Civil, Architectural and Environmental Engineering</w:t>
      </w:r>
    </w:p>
    <w:p w14:paraId="41ECB3A5" w14:textId="77777777" w:rsidR="00AB55F1" w:rsidRPr="007E6974" w:rsidRDefault="00AB55F1" w:rsidP="00AB55F1">
      <w:pPr>
        <w:spacing w:after="0"/>
        <w:jc w:val="center"/>
        <w:rPr>
          <w:bCs/>
        </w:rPr>
      </w:pPr>
      <w:r w:rsidRPr="007E6974">
        <w:t>301 E. Dean Keeton St. Stop C1761, Austin TX 78712, USA</w:t>
      </w:r>
    </w:p>
    <w:p w14:paraId="366460D3" w14:textId="77777777" w:rsidR="00AB55F1" w:rsidRDefault="00AB55F1" w:rsidP="00AB55F1">
      <w:pPr>
        <w:spacing w:after="0"/>
        <w:jc w:val="center"/>
      </w:pPr>
      <w:r w:rsidRPr="007E6974">
        <w:t>Email:</w:t>
      </w:r>
      <w:r>
        <w:t xml:space="preserve"> </w:t>
      </w:r>
      <w:hyperlink r:id="rId8" w:history="1">
        <w:r w:rsidRPr="00EA01B7">
          <w:rPr>
            <w:rStyle w:val="Hyperlink"/>
          </w:rPr>
          <w:t>kasmussen29@utexas.edu</w:t>
        </w:r>
      </w:hyperlink>
      <w:r>
        <w:t xml:space="preserve"> </w:t>
      </w:r>
    </w:p>
    <w:p w14:paraId="456E629B" w14:textId="77777777" w:rsidR="00AB55F1" w:rsidRDefault="00AB55F1" w:rsidP="00AB55F1">
      <w:pPr>
        <w:spacing w:after="0"/>
        <w:jc w:val="center"/>
      </w:pPr>
    </w:p>
    <w:p w14:paraId="6E56340B" w14:textId="5BA0DDEB" w:rsidR="00AB55F1" w:rsidRDefault="00AB55F1" w:rsidP="00AB55F1">
      <w:pPr>
        <w:spacing w:after="0"/>
        <w:jc w:val="center"/>
      </w:pPr>
      <w:r>
        <w:t xml:space="preserve"> </w:t>
      </w:r>
    </w:p>
    <w:p w14:paraId="3EFD263A" w14:textId="77777777" w:rsidR="00AB55F1" w:rsidRPr="0038441B" w:rsidRDefault="00AB55F1" w:rsidP="00AB55F1">
      <w:pPr>
        <w:spacing w:after="0"/>
        <w:jc w:val="center"/>
        <w:rPr>
          <w:b/>
        </w:rPr>
      </w:pPr>
      <w:r w:rsidRPr="0038441B">
        <w:rPr>
          <w:b/>
        </w:rPr>
        <w:t xml:space="preserve">Angela </w:t>
      </w:r>
      <w:r>
        <w:rPr>
          <w:b/>
        </w:rPr>
        <w:t xml:space="preserve">J. </w:t>
      </w:r>
      <w:r w:rsidRPr="0038441B">
        <w:rPr>
          <w:b/>
        </w:rPr>
        <w:t>Haddad</w:t>
      </w:r>
    </w:p>
    <w:p w14:paraId="10B05458" w14:textId="77777777" w:rsidR="00AB55F1" w:rsidRPr="0038441B" w:rsidRDefault="00AB55F1" w:rsidP="00AB55F1">
      <w:pPr>
        <w:spacing w:after="0"/>
        <w:jc w:val="center"/>
      </w:pPr>
      <w:r w:rsidRPr="0038441B">
        <w:t>The University of Texas at Austin</w:t>
      </w:r>
    </w:p>
    <w:p w14:paraId="57A05C34" w14:textId="77777777" w:rsidR="00AB55F1" w:rsidRPr="0038441B" w:rsidRDefault="00AB55F1" w:rsidP="00AB55F1">
      <w:pPr>
        <w:spacing w:after="0"/>
        <w:jc w:val="center"/>
      </w:pPr>
      <w:r w:rsidRPr="0038441B">
        <w:t>Department of Civil, Architectural and Environmental Engineering</w:t>
      </w:r>
    </w:p>
    <w:p w14:paraId="3DFE257C" w14:textId="77777777" w:rsidR="00AB55F1" w:rsidRPr="0038441B" w:rsidRDefault="00AB55F1" w:rsidP="00AB55F1">
      <w:pPr>
        <w:spacing w:after="0"/>
        <w:jc w:val="center"/>
      </w:pPr>
      <w:r w:rsidRPr="0038441B">
        <w:t>301 E. Dean Keeton St. Stop C1761, Austin TX 78712, USA</w:t>
      </w:r>
    </w:p>
    <w:p w14:paraId="59F0E3C8" w14:textId="77777777" w:rsidR="00AB55F1" w:rsidRDefault="00AB55F1" w:rsidP="00AB55F1">
      <w:pPr>
        <w:spacing w:after="0"/>
        <w:jc w:val="center"/>
      </w:pPr>
      <w:r w:rsidRPr="0038441B">
        <w:t xml:space="preserve">Email: </w:t>
      </w:r>
      <w:hyperlink r:id="rId9" w:history="1">
        <w:r w:rsidRPr="0038441B">
          <w:rPr>
            <w:rStyle w:val="Hyperlink"/>
          </w:rPr>
          <w:t>angela.haddad@utexas.edu</w:t>
        </w:r>
      </w:hyperlink>
    </w:p>
    <w:p w14:paraId="095F526A" w14:textId="43E33DE4" w:rsidR="00AB55F1" w:rsidRDefault="00AB55F1" w:rsidP="00AB55F1">
      <w:pPr>
        <w:spacing w:after="0"/>
        <w:jc w:val="center"/>
      </w:pPr>
    </w:p>
    <w:p w14:paraId="7FCA395A" w14:textId="77777777" w:rsidR="00AB55F1" w:rsidRDefault="00AB55F1" w:rsidP="00AB55F1">
      <w:pPr>
        <w:spacing w:after="0"/>
        <w:jc w:val="center"/>
      </w:pPr>
    </w:p>
    <w:p w14:paraId="28E96F6C" w14:textId="77777777" w:rsidR="00AB55F1" w:rsidRPr="0038441B" w:rsidRDefault="00AB55F1" w:rsidP="00AB55F1">
      <w:pPr>
        <w:spacing w:after="0"/>
        <w:jc w:val="center"/>
        <w:rPr>
          <w:b/>
        </w:rPr>
      </w:pPr>
      <w:r w:rsidRPr="0038441B">
        <w:rPr>
          <w:b/>
        </w:rPr>
        <w:t>Chandra R. Bhat (corresponding author)</w:t>
      </w:r>
    </w:p>
    <w:p w14:paraId="1E643D94" w14:textId="77777777" w:rsidR="00AB55F1" w:rsidRPr="0038441B" w:rsidRDefault="00AB55F1" w:rsidP="00AB55F1">
      <w:pPr>
        <w:spacing w:after="0"/>
        <w:jc w:val="center"/>
      </w:pPr>
      <w:r w:rsidRPr="0038441B">
        <w:t>The University of Texas at Austin</w:t>
      </w:r>
    </w:p>
    <w:p w14:paraId="069B2B37" w14:textId="77777777" w:rsidR="00AB55F1" w:rsidRPr="0038441B" w:rsidRDefault="00AB55F1" w:rsidP="00AB55F1">
      <w:pPr>
        <w:spacing w:after="0"/>
        <w:jc w:val="center"/>
      </w:pPr>
      <w:r w:rsidRPr="0038441B">
        <w:t>Department of Civil, Architectural and Environmental Engineering</w:t>
      </w:r>
    </w:p>
    <w:p w14:paraId="09D5854C" w14:textId="77777777" w:rsidR="00AB55F1" w:rsidRPr="0038441B" w:rsidRDefault="00AB55F1" w:rsidP="00AB55F1">
      <w:pPr>
        <w:spacing w:after="0"/>
        <w:jc w:val="center"/>
      </w:pPr>
      <w:r w:rsidRPr="0038441B">
        <w:t>301 E. Dean Keeton St. Stop C1761, Austin TX 78712, USA</w:t>
      </w:r>
    </w:p>
    <w:p w14:paraId="5F675D72" w14:textId="77777777" w:rsidR="00AB55F1" w:rsidRDefault="00AB55F1" w:rsidP="00AB55F1">
      <w:pPr>
        <w:spacing w:after="0"/>
        <w:jc w:val="center"/>
      </w:pPr>
      <w:r w:rsidRPr="0038441B">
        <w:rPr>
          <w:lang w:val="fr-FR"/>
        </w:rPr>
        <w:t xml:space="preserve">Email: </w:t>
      </w:r>
      <w:hyperlink r:id="rId10" w:history="1">
        <w:r w:rsidRPr="0038441B">
          <w:rPr>
            <w:rStyle w:val="Hyperlink"/>
            <w:lang w:val="fr-FR"/>
          </w:rPr>
          <w:t>bhat@mail.utexas.edu</w:t>
        </w:r>
      </w:hyperlink>
    </w:p>
    <w:p w14:paraId="2ACABE8E" w14:textId="77777777" w:rsidR="00AB55F1" w:rsidRPr="00E465D0" w:rsidRDefault="00AB55F1" w:rsidP="00AB55F1">
      <w:pPr>
        <w:spacing w:after="0"/>
        <w:jc w:val="center"/>
      </w:pPr>
    </w:p>
    <w:p w14:paraId="29FD0247" w14:textId="77777777" w:rsidR="00AB55F1" w:rsidRDefault="00AB55F1" w:rsidP="00AB55F1">
      <w:pPr>
        <w:spacing w:after="0"/>
        <w:rPr>
          <w:b/>
          <w:bCs/>
        </w:rPr>
      </w:pPr>
    </w:p>
    <w:p w14:paraId="2A62ACD1" w14:textId="77777777" w:rsidR="00AB55F1" w:rsidRDefault="00AB55F1" w:rsidP="00AB55F1">
      <w:pPr>
        <w:spacing w:after="0"/>
        <w:rPr>
          <w:b/>
          <w:bCs/>
        </w:rPr>
      </w:pPr>
    </w:p>
    <w:p w14:paraId="7D88D479" w14:textId="77777777" w:rsidR="00AB55F1" w:rsidRDefault="00AB55F1" w:rsidP="00AB55F1">
      <w:pPr>
        <w:spacing w:after="0"/>
        <w:rPr>
          <w:b/>
          <w:bCs/>
        </w:rPr>
        <w:sectPr w:rsidR="00AB55F1">
          <w:pgSz w:w="12240" w:h="15840"/>
          <w:pgMar w:top="1440" w:right="1440" w:bottom="1440" w:left="1440" w:header="720" w:footer="720" w:gutter="0"/>
          <w:cols w:space="720"/>
          <w:docGrid w:linePitch="360"/>
        </w:sectPr>
      </w:pPr>
    </w:p>
    <w:p w14:paraId="1E8E07C5" w14:textId="7595591E" w:rsidR="004D1B35" w:rsidRPr="00E465D0" w:rsidRDefault="00371782" w:rsidP="00AB55F1">
      <w:pPr>
        <w:spacing w:after="0"/>
        <w:rPr>
          <w:b/>
          <w:bCs/>
        </w:rPr>
      </w:pPr>
      <w:r w:rsidRPr="00E465D0">
        <w:rPr>
          <w:b/>
          <w:bCs/>
        </w:rPr>
        <w:lastRenderedPageBreak/>
        <w:t>ABSTRACT:</w:t>
      </w:r>
    </w:p>
    <w:p w14:paraId="46C5D6A8" w14:textId="47FEA9AB" w:rsidR="00E17EC5" w:rsidRPr="00E465D0" w:rsidRDefault="00E17EC5" w:rsidP="00AB55F1">
      <w:pPr>
        <w:spacing w:after="0"/>
      </w:pPr>
      <w:r w:rsidRPr="00E465D0">
        <w:t>This study explores the intricate interrelationship between teleworking and weekly participation in two types of nonwork activities – maintenance episodes and leisure episodes. We employ a latent segmentation model to categorize the population into two segments: (1) those for whom nonwork activity participation influences telework frequency (“players”), and (2) those for whom telework frequency impacts nonwork activity participation (“workers”). Within each segment, to reduce any spurious association effects, we model teleworking and nonwork stop-making as a package by accommodating correlations in unobserved factors across the outcomes. The data for this analysis is drawn from a 2021-2022 weekly travel survey of Minnesotan workers in the Twin City region. The results reveal significant heterogeneity in the causal directionality of effect, with nonwork activity participation influencing telework intensity levels for about two-thirds of individuals (the “player” or NT segment), and telework levels influencing nonwork activity participation for the rest (the “worker</w:t>
      </w:r>
      <w:r w:rsidR="005C0B86">
        <w:t>”</w:t>
      </w:r>
      <w:r w:rsidRPr="00E465D0">
        <w:t xml:space="preserve"> or TN segment). This result is in contrast to earlier studies that have predominantly assumed that all individuals belong to the TN or </w:t>
      </w:r>
      <w:r w:rsidR="005C0B86">
        <w:t>“</w:t>
      </w:r>
      <w:r w:rsidRPr="00E465D0">
        <w:t>worker” segment, which according to our analysis, is actually the case only for a minority of the population. Our analysis also indicates that, rather than asking the typical question of “</w:t>
      </w:r>
      <w:r w:rsidR="00FE0D98">
        <w:t xml:space="preserve">does </w:t>
      </w:r>
      <w:r w:rsidRPr="00E465D0">
        <w:t>telework increase or decrease stop-making</w:t>
      </w:r>
      <w:r w:rsidR="00FE0D98">
        <w:t>?</w:t>
      </w:r>
      <w:r w:rsidRPr="00E465D0">
        <w:t xml:space="preserve">”, the more pertinent question is </w:t>
      </w:r>
      <w:r w:rsidR="00FE0D98">
        <w:t>“</w:t>
      </w:r>
      <w:r w:rsidRPr="00E465D0">
        <w:t xml:space="preserve">how </w:t>
      </w:r>
      <w:r w:rsidR="00FE0D98">
        <w:t xml:space="preserve">does </w:t>
      </w:r>
      <w:r w:rsidRPr="00E465D0">
        <w:t>the number of nonwork stops relate to the intensity of teleworking</w:t>
      </w:r>
      <w:r w:rsidR="00FE0D98">
        <w:t>?”</w:t>
      </w:r>
      <w:r w:rsidRPr="00E465D0">
        <w:t>. Our findings reveal an inverted U-shaped curve, with the highest number of nonstops occurring when individuals telework a few days a month or about one day per week. This, combined with the finding from the Asmussen et al. (2024</w:t>
      </w:r>
      <w:r w:rsidR="00AB236A">
        <w:t>a</w:t>
      </w:r>
      <w:r w:rsidRPr="00E465D0">
        <w:t xml:space="preserve">) study, indicates that low levels of teleworking (a day per week or less) actually increases both commute </w:t>
      </w:r>
      <w:r w:rsidR="00F519BD">
        <w:t>vehicle miles traveled (</w:t>
      </w:r>
      <w:r w:rsidRPr="00E465D0">
        <w:t>VMT</w:t>
      </w:r>
      <w:r w:rsidR="00F519BD">
        <w:t>)</w:t>
      </w:r>
      <w:r w:rsidRPr="00E465D0">
        <w:t xml:space="preserve"> and nonwork VMT. Therefore, to achieve VMT reduction through teleworking, promoting moderate to high levels of telework appears important.</w:t>
      </w:r>
    </w:p>
    <w:p w14:paraId="6AEC4405" w14:textId="77777777" w:rsidR="00AB55F1" w:rsidRDefault="00AB55F1" w:rsidP="00AB55F1">
      <w:pPr>
        <w:spacing w:after="0"/>
      </w:pPr>
    </w:p>
    <w:p w14:paraId="20A64D6C" w14:textId="77777777" w:rsidR="00AB55F1" w:rsidRDefault="00AB55F1" w:rsidP="00AB55F1">
      <w:pPr>
        <w:spacing w:after="0"/>
      </w:pPr>
      <w:r>
        <w:rPr>
          <w:i/>
          <w:iCs/>
        </w:rPr>
        <w:t>Keywords</w:t>
      </w:r>
      <w:r>
        <w:t>: Telework, maintenance travel, leisure travel, causal relationship, latent segments</w:t>
      </w:r>
    </w:p>
    <w:p w14:paraId="3584BA36" w14:textId="77B2C7C2" w:rsidR="00045661" w:rsidRPr="00E465D0" w:rsidRDefault="00371782" w:rsidP="00AB55F1">
      <w:pPr>
        <w:spacing w:after="0"/>
      </w:pPr>
      <w:r w:rsidRPr="00E465D0">
        <w:br w:type="page"/>
      </w:r>
    </w:p>
    <w:p w14:paraId="79716E1B" w14:textId="77777777" w:rsidR="00AB55F1" w:rsidRDefault="00AB55F1" w:rsidP="00AB55F1">
      <w:pPr>
        <w:pStyle w:val="Heading1"/>
        <w:spacing w:before="0"/>
        <w:sectPr w:rsidR="00AB55F1">
          <w:pgSz w:w="12240" w:h="15840"/>
          <w:pgMar w:top="1440" w:right="1440" w:bottom="1440" w:left="1440" w:header="720" w:footer="720" w:gutter="0"/>
          <w:cols w:space="720"/>
          <w:docGrid w:linePitch="360"/>
        </w:sectPr>
      </w:pPr>
    </w:p>
    <w:p w14:paraId="215F4B00" w14:textId="30DBC06A" w:rsidR="00371782" w:rsidRPr="00E465D0" w:rsidRDefault="00371782" w:rsidP="00AB55F1">
      <w:pPr>
        <w:pStyle w:val="Heading1"/>
        <w:spacing w:before="0"/>
      </w:pPr>
      <w:r w:rsidRPr="00E465D0">
        <w:lastRenderedPageBreak/>
        <w:t>INTRODUCTION</w:t>
      </w:r>
    </w:p>
    <w:p w14:paraId="4FFE809D" w14:textId="5F9A2637" w:rsidR="00B25637" w:rsidRPr="00E465D0" w:rsidRDefault="00371782" w:rsidP="00AB55F1">
      <w:pPr>
        <w:spacing w:after="0"/>
        <w:rPr>
          <w:color w:val="222222"/>
          <w:shd w:val="clear" w:color="auto" w:fill="FFFFFF"/>
        </w:rPr>
      </w:pPr>
      <w:r w:rsidRPr="00E465D0">
        <w:t xml:space="preserve">Technology has evolved at a tremendous pace over the past decade, permeating into our everyday existence and affecting literally every aspect of our lives. Our activity-travel choices have been no exception in this regard, as we make continuous and joint decisions about which activities we can and want to undertake (either in-person or virtually). Add to this the pandemic’s upheaval of habits and behaviors, and there emerges a critical and renewed need to </w:t>
      </w:r>
      <w:r w:rsidRPr="00E465D0">
        <w:rPr>
          <w:color w:val="222222"/>
          <w:shd w:val="clear" w:color="auto" w:fill="FFFFFF"/>
        </w:rPr>
        <w:t xml:space="preserve">understand the activity-travel choices and decisions of individuals within a new landscape of transportation, technology, and pandemic-altered lifestyles. </w:t>
      </w:r>
    </w:p>
    <w:p w14:paraId="2631CC97" w14:textId="6D46DE08" w:rsidR="00C13D21" w:rsidRPr="00E465D0" w:rsidRDefault="008638F3" w:rsidP="00AB55F1">
      <w:pPr>
        <w:spacing w:after="0"/>
        <w:ind w:firstLine="720"/>
        <w:rPr>
          <w:color w:val="000000" w:themeColor="text1"/>
        </w:rPr>
      </w:pPr>
      <w:r w:rsidRPr="00E465D0">
        <w:rPr>
          <w:shd w:val="clear" w:color="auto" w:fill="FFFFFF"/>
        </w:rPr>
        <w:t>Among the activity-travel changes brought on by the confluence of technology and the pandemic is a reshaping of tele</w:t>
      </w:r>
      <w:r w:rsidR="000A55EF" w:rsidRPr="00E465D0">
        <w:rPr>
          <w:shd w:val="clear" w:color="auto" w:fill="FFFFFF"/>
        </w:rPr>
        <w:t>work activity</w:t>
      </w:r>
      <w:r w:rsidR="008C2AC9" w:rsidRPr="00E465D0">
        <w:rPr>
          <w:shd w:val="clear" w:color="auto" w:fill="FFFFFF"/>
        </w:rPr>
        <w:t>.</w:t>
      </w:r>
      <w:r w:rsidR="000A55EF" w:rsidRPr="00E465D0">
        <w:rPr>
          <w:shd w:val="clear" w:color="auto" w:fill="FFFFFF"/>
        </w:rPr>
        <w:t xml:space="preserve"> To be sure, advanc</w:t>
      </w:r>
      <w:r w:rsidR="00C13D21" w:rsidRPr="00E465D0">
        <w:rPr>
          <w:shd w:val="clear" w:color="auto" w:fill="FFFFFF"/>
        </w:rPr>
        <w:t xml:space="preserve">es in </w:t>
      </w:r>
      <w:r w:rsidR="000A55EF" w:rsidRPr="00E465D0">
        <w:rPr>
          <w:shd w:val="clear" w:color="auto" w:fill="FFFFFF"/>
        </w:rPr>
        <w:t>communication technology did facilitate telework even before the pandemic, but it was the telework experience of workers during the lockdown period at the height of the pandemic, combined with a surge in ubiquitous broadband communication technologies within homes and other non-office spaces</w:t>
      </w:r>
      <w:r w:rsidR="00C13D21" w:rsidRPr="00E465D0">
        <w:rPr>
          <w:shd w:val="clear" w:color="auto" w:fill="FFFFFF"/>
        </w:rPr>
        <w:t xml:space="preserve"> during that period</w:t>
      </w:r>
      <w:r w:rsidR="000A55EF" w:rsidRPr="00E465D0">
        <w:rPr>
          <w:shd w:val="clear" w:color="auto" w:fill="FFFFFF"/>
        </w:rPr>
        <w:t xml:space="preserve">, that led to </w:t>
      </w:r>
      <w:r w:rsidR="000A55EF" w:rsidRPr="00E465D0">
        <w:rPr>
          <w:color w:val="000000" w:themeColor="text1"/>
        </w:rPr>
        <w:t xml:space="preserve">a dramatic </w:t>
      </w:r>
      <w:r w:rsidRPr="00E465D0">
        <w:rPr>
          <w:color w:val="000000" w:themeColor="text1"/>
        </w:rPr>
        <w:t xml:space="preserve">telework </w:t>
      </w:r>
      <w:r w:rsidR="000A55EF" w:rsidRPr="00E465D0">
        <w:rPr>
          <w:color w:val="000000" w:themeColor="text1"/>
        </w:rPr>
        <w:t xml:space="preserve">shift. For example, in the United States, </w:t>
      </w:r>
      <w:bookmarkStart w:id="0" w:name="_Hlk133330309"/>
      <w:r w:rsidR="000A55EF" w:rsidRPr="00E465D0">
        <w:rPr>
          <w:color w:val="000000" w:themeColor="text1"/>
        </w:rPr>
        <w:t>only six percent of workers primarily worked from a remote location (home or other) before the pandemic</w:t>
      </w:r>
      <w:bookmarkEnd w:id="0"/>
      <w:r w:rsidR="000A55EF" w:rsidRPr="00E465D0">
        <w:rPr>
          <w:color w:val="000000" w:themeColor="text1"/>
        </w:rPr>
        <w:t>, while about three-quarters had never worked from a remote location (Coate, 2021).</w:t>
      </w:r>
      <w:r w:rsidR="000A55EF" w:rsidRPr="00E465D0">
        <w:rPr>
          <w:rStyle w:val="FootnoteReference"/>
          <w:color w:val="000000" w:themeColor="text1"/>
        </w:rPr>
        <w:footnoteReference w:id="2"/>
      </w:r>
      <w:r w:rsidR="000A55EF" w:rsidRPr="00E465D0">
        <w:rPr>
          <w:color w:val="000000" w:themeColor="text1"/>
        </w:rPr>
        <w:t xml:space="preserve"> </w:t>
      </w:r>
      <w:r w:rsidR="00366795" w:rsidRPr="00E465D0">
        <w:rPr>
          <w:color w:val="000000" w:themeColor="text1"/>
        </w:rPr>
        <w:t xml:space="preserve">This telework percentage reached its peak in 2020-2021 </w:t>
      </w:r>
      <w:r w:rsidR="000A55EF" w:rsidRPr="00E465D0">
        <w:rPr>
          <w:color w:val="000000" w:themeColor="text1"/>
        </w:rPr>
        <w:t>(Coate, 2021; Saad and Wigert, 2021</w:t>
      </w:r>
      <w:r w:rsidR="00366795" w:rsidRPr="00E465D0">
        <w:rPr>
          <w:color w:val="000000" w:themeColor="text1"/>
        </w:rPr>
        <w:t xml:space="preserve">), and has </w:t>
      </w:r>
      <w:r w:rsidR="00C05243" w:rsidRPr="00E465D0">
        <w:rPr>
          <w:color w:val="000000" w:themeColor="text1"/>
        </w:rPr>
        <w:t xml:space="preserve">since </w:t>
      </w:r>
      <w:r w:rsidR="00366795" w:rsidRPr="00E465D0">
        <w:rPr>
          <w:color w:val="000000" w:themeColor="text1"/>
        </w:rPr>
        <w:t>fallen because of a combination of the ability to control the pandemic spread and renewed calls from many employers to return to the in-person work place</w:t>
      </w:r>
      <w:r w:rsidR="000A55EF" w:rsidRPr="00E465D0">
        <w:rPr>
          <w:color w:val="000000" w:themeColor="text1"/>
        </w:rPr>
        <w:t xml:space="preserve">. </w:t>
      </w:r>
      <w:r w:rsidR="00366795" w:rsidRPr="00E465D0">
        <w:rPr>
          <w:color w:val="000000" w:themeColor="text1"/>
        </w:rPr>
        <w:t xml:space="preserve">Nonetheless, rates of never teleworking remain under 40%, with a sizeable percentage of the US workforce having a hybrid work </w:t>
      </w:r>
      <w:r w:rsidRPr="00E465D0">
        <w:rPr>
          <w:color w:val="000000" w:themeColor="text1"/>
        </w:rPr>
        <w:t xml:space="preserve">location </w:t>
      </w:r>
      <w:r w:rsidR="00366795" w:rsidRPr="00E465D0">
        <w:rPr>
          <w:color w:val="000000" w:themeColor="text1"/>
        </w:rPr>
        <w:t xml:space="preserve">arrangement (Flynn, 2023). </w:t>
      </w:r>
    </w:p>
    <w:p w14:paraId="69247F90" w14:textId="0C4467E3" w:rsidR="00A353E2" w:rsidRPr="00AB55F1" w:rsidRDefault="008638F3" w:rsidP="00AB55F1">
      <w:pPr>
        <w:spacing w:after="0"/>
        <w:ind w:firstLine="720"/>
        <w:rPr>
          <w:shd w:val="clear" w:color="auto" w:fill="FFFFFF"/>
        </w:rPr>
      </w:pPr>
      <w:r w:rsidRPr="00E465D0">
        <w:rPr>
          <w:color w:val="000000" w:themeColor="text1"/>
        </w:rPr>
        <w:t xml:space="preserve">Not surprisingly, then, </w:t>
      </w:r>
      <w:r w:rsidR="00C05243" w:rsidRPr="00E465D0">
        <w:rPr>
          <w:color w:val="000000" w:themeColor="text1"/>
        </w:rPr>
        <w:t>m</w:t>
      </w:r>
      <w:r w:rsidR="00C13D21" w:rsidRPr="00E465D0">
        <w:rPr>
          <w:color w:val="000000" w:themeColor="text1"/>
        </w:rPr>
        <w:t>any post-COVID studies have examined th</w:t>
      </w:r>
      <w:r w:rsidR="003D6B8E" w:rsidRPr="00E465D0">
        <w:rPr>
          <w:color w:val="000000" w:themeColor="text1"/>
        </w:rPr>
        <w:t>e</w:t>
      </w:r>
      <w:r w:rsidR="00C13D21" w:rsidRPr="00E465D0">
        <w:rPr>
          <w:color w:val="000000" w:themeColor="text1"/>
        </w:rPr>
        <w:t xml:space="preserve"> hybridization of the work location (we use the label “post-COVID” here to refer to the period after the wide availability of vaccinations in the US, which would be after Summer 2021). </w:t>
      </w:r>
      <w:r w:rsidR="00CB21C3" w:rsidRPr="00E465D0">
        <w:rPr>
          <w:shd w:val="clear" w:color="auto" w:fill="FFFFFF"/>
        </w:rPr>
        <w:t xml:space="preserve">This </w:t>
      </w:r>
      <w:r w:rsidR="00C13D21" w:rsidRPr="00E465D0">
        <w:rPr>
          <w:shd w:val="clear" w:color="auto" w:fill="FFFFFF"/>
        </w:rPr>
        <w:t xml:space="preserve">is not surprising because of the potential of telework to reduce morning and afternoon peak period traffic congestion, given that work </w:t>
      </w:r>
      <w:r w:rsidRPr="00E465D0">
        <w:rPr>
          <w:shd w:val="clear" w:color="auto" w:fill="FFFFFF"/>
        </w:rPr>
        <w:t>travel</w:t>
      </w:r>
      <w:r w:rsidR="00C13D21" w:rsidRPr="00E465D0">
        <w:rPr>
          <w:shd w:val="clear" w:color="auto" w:fill="FFFFFF"/>
        </w:rPr>
        <w:t xml:space="preserve">, for many individuals, tends to have a regular weekday rhythm with a </w:t>
      </w:r>
      <w:r w:rsidRPr="00E465D0">
        <w:rPr>
          <w:shd w:val="clear" w:color="auto" w:fill="FFFFFF"/>
        </w:rPr>
        <w:t xml:space="preserve">morning </w:t>
      </w:r>
      <w:r w:rsidR="00C13D21" w:rsidRPr="00E465D0">
        <w:rPr>
          <w:shd w:val="clear" w:color="auto" w:fill="FFFFFF"/>
        </w:rPr>
        <w:t xml:space="preserve">start at about </w:t>
      </w:r>
      <w:r w:rsidRPr="00E465D0">
        <w:rPr>
          <w:shd w:val="clear" w:color="auto" w:fill="FFFFFF"/>
        </w:rPr>
        <w:t>8</w:t>
      </w:r>
      <w:r w:rsidR="00C13D21" w:rsidRPr="00E465D0">
        <w:rPr>
          <w:shd w:val="clear" w:color="auto" w:fill="FFFFFF"/>
        </w:rPr>
        <w:t xml:space="preserve"> am and an </w:t>
      </w:r>
      <w:r w:rsidRPr="00E465D0">
        <w:rPr>
          <w:shd w:val="clear" w:color="auto" w:fill="FFFFFF"/>
        </w:rPr>
        <w:t xml:space="preserve">evening return at </w:t>
      </w:r>
      <w:r w:rsidR="00C13D21" w:rsidRPr="00E465D0">
        <w:rPr>
          <w:shd w:val="clear" w:color="auto" w:fill="FFFFFF"/>
        </w:rPr>
        <w:t xml:space="preserve">about 5 pm. </w:t>
      </w:r>
      <w:r w:rsidR="00BE0F21" w:rsidRPr="00E465D0">
        <w:rPr>
          <w:shd w:val="clear" w:color="auto" w:fill="FFFFFF"/>
        </w:rPr>
        <w:t xml:space="preserve">However, </w:t>
      </w:r>
      <w:r w:rsidR="003D6B8E" w:rsidRPr="00E465D0">
        <w:rPr>
          <w:shd w:val="clear" w:color="auto" w:fill="FFFFFF"/>
        </w:rPr>
        <w:t>the confluence of technological and pandemic-caused shifts in activity-travel behavior has not been confined to work activity</w:t>
      </w:r>
      <w:r w:rsidR="00C05243" w:rsidRPr="00E465D0">
        <w:rPr>
          <w:shd w:val="clear" w:color="auto" w:fill="FFFFFF"/>
        </w:rPr>
        <w:t xml:space="preserve">; it </w:t>
      </w:r>
      <w:r w:rsidR="003D6B8E" w:rsidRPr="00E465D0">
        <w:rPr>
          <w:shd w:val="clear" w:color="auto" w:fill="FFFFFF"/>
        </w:rPr>
        <w:t xml:space="preserve">has had much broader impacts on nonwork activity pursuits too. </w:t>
      </w:r>
      <w:r w:rsidR="00035CAA" w:rsidRPr="00E465D0">
        <w:rPr>
          <w:shd w:val="clear" w:color="auto" w:fill="FFFFFF"/>
        </w:rPr>
        <w:t xml:space="preserve">In particular, </w:t>
      </w:r>
      <w:r w:rsidR="004F65E0" w:rsidRPr="00E465D0">
        <w:rPr>
          <w:shd w:val="clear" w:color="auto" w:fill="FFFFFF"/>
        </w:rPr>
        <w:t>the opportunity to pursue activities virtually and conveniently (rather than only in-person</w:t>
      </w:r>
      <w:r w:rsidR="00C05243" w:rsidRPr="00E465D0">
        <w:rPr>
          <w:shd w:val="clear" w:color="auto" w:fill="FFFFFF"/>
        </w:rPr>
        <w:t>)</w:t>
      </w:r>
      <w:r w:rsidR="004F65E0" w:rsidRPr="00E465D0">
        <w:rPr>
          <w:shd w:val="clear" w:color="auto" w:fill="FFFFFF"/>
        </w:rPr>
        <w:t xml:space="preserve">, along with </w:t>
      </w:r>
      <w:r w:rsidR="00C05243" w:rsidRPr="00E465D0">
        <w:rPr>
          <w:shd w:val="clear" w:color="auto" w:fill="FFFFFF"/>
        </w:rPr>
        <w:t xml:space="preserve">businesses </w:t>
      </w:r>
      <w:r w:rsidRPr="00E465D0">
        <w:rPr>
          <w:shd w:val="clear" w:color="auto" w:fill="FFFFFF"/>
        </w:rPr>
        <w:t xml:space="preserve">realizing </w:t>
      </w:r>
      <w:r w:rsidR="00C05243" w:rsidRPr="00E465D0">
        <w:rPr>
          <w:shd w:val="clear" w:color="auto" w:fill="FFFFFF"/>
        </w:rPr>
        <w:t xml:space="preserve">the market potential opened up by </w:t>
      </w:r>
      <w:r w:rsidR="00A353E2" w:rsidRPr="00E465D0">
        <w:rPr>
          <w:shd w:val="clear" w:color="auto" w:fill="FFFFFF"/>
        </w:rPr>
        <w:t>virtual participation</w:t>
      </w:r>
      <w:r w:rsidR="00C05243" w:rsidRPr="00E465D0">
        <w:rPr>
          <w:shd w:val="clear" w:color="auto" w:fill="FFFFFF"/>
        </w:rPr>
        <w:t>s</w:t>
      </w:r>
      <w:r w:rsidR="004F65E0" w:rsidRPr="00E465D0">
        <w:rPr>
          <w:shd w:val="clear" w:color="auto" w:fill="FFFFFF"/>
        </w:rPr>
        <w:t xml:space="preserve">, </w:t>
      </w:r>
      <w:r w:rsidR="00A353E2" w:rsidRPr="00E465D0">
        <w:rPr>
          <w:shd w:val="clear" w:color="auto" w:fill="FFFFFF"/>
        </w:rPr>
        <w:t>has led to substantial i</w:t>
      </w:r>
      <w:r w:rsidRPr="00E465D0">
        <w:rPr>
          <w:shd w:val="clear" w:color="auto" w:fill="FFFFFF"/>
        </w:rPr>
        <w:t xml:space="preserve">mpacts </w:t>
      </w:r>
      <w:r w:rsidR="00A353E2" w:rsidRPr="00E465D0">
        <w:rPr>
          <w:shd w:val="clear" w:color="auto" w:fill="FFFFFF"/>
        </w:rPr>
        <w:t xml:space="preserve">on nonwork </w:t>
      </w:r>
      <w:r w:rsidR="00182BB2" w:rsidRPr="00E465D0">
        <w:rPr>
          <w:shd w:val="clear" w:color="auto" w:fill="FFFFFF"/>
        </w:rPr>
        <w:t xml:space="preserve">in-person </w:t>
      </w:r>
      <w:r w:rsidR="00A353E2" w:rsidRPr="00E465D0">
        <w:rPr>
          <w:shd w:val="clear" w:color="auto" w:fill="FFFFFF"/>
        </w:rPr>
        <w:t>activity participation</w:t>
      </w:r>
      <w:r w:rsidR="00182BB2" w:rsidRPr="00E465D0">
        <w:rPr>
          <w:shd w:val="clear" w:color="auto" w:fill="FFFFFF"/>
        </w:rPr>
        <w:t>s</w:t>
      </w:r>
      <w:r w:rsidR="00A353E2" w:rsidRPr="00E465D0">
        <w:rPr>
          <w:shd w:val="clear" w:color="auto" w:fill="FFFFFF"/>
        </w:rPr>
        <w:t xml:space="preserve">, including </w:t>
      </w:r>
      <w:r w:rsidR="003E1E42" w:rsidRPr="00E465D0">
        <w:rPr>
          <w:shd w:val="clear" w:color="auto" w:fill="FFFFFF"/>
        </w:rPr>
        <w:t>maintenance activities (such as grocery shopping, personal business, and medical appointments) and leisure activities (social-</w:t>
      </w:r>
      <w:r w:rsidR="00A353E2" w:rsidRPr="00E465D0">
        <w:rPr>
          <w:shd w:val="clear" w:color="auto" w:fill="FFFFFF"/>
        </w:rPr>
        <w:t>recreational pursuits,</w:t>
      </w:r>
      <w:r w:rsidR="003E1E42" w:rsidRPr="00E465D0">
        <w:rPr>
          <w:shd w:val="clear" w:color="auto" w:fill="FFFFFF"/>
        </w:rPr>
        <w:t xml:space="preserve"> non-grocery </w:t>
      </w:r>
      <w:r w:rsidR="00A353E2" w:rsidRPr="00E465D0">
        <w:rPr>
          <w:shd w:val="clear" w:color="auto" w:fill="FFFFFF"/>
        </w:rPr>
        <w:t xml:space="preserve">shopping episodes, </w:t>
      </w:r>
      <w:r w:rsidR="003E1E42" w:rsidRPr="00E465D0">
        <w:rPr>
          <w:shd w:val="clear" w:color="auto" w:fill="FFFFFF"/>
        </w:rPr>
        <w:t xml:space="preserve">and </w:t>
      </w:r>
      <w:r w:rsidR="00A353E2" w:rsidRPr="00E465D0">
        <w:rPr>
          <w:shd w:val="clear" w:color="auto" w:fill="FFFFFF"/>
        </w:rPr>
        <w:t>dining experiences</w:t>
      </w:r>
      <w:r w:rsidR="003E1E42" w:rsidRPr="00E465D0">
        <w:rPr>
          <w:shd w:val="clear" w:color="auto" w:fill="FFFFFF"/>
        </w:rPr>
        <w:t xml:space="preserve">) </w:t>
      </w:r>
      <w:r w:rsidR="00182BB2" w:rsidRPr="00E465D0">
        <w:rPr>
          <w:shd w:val="clear" w:color="auto" w:fill="FFFFFF"/>
        </w:rPr>
        <w:t>(Murray, 2022)</w:t>
      </w:r>
      <w:r w:rsidR="00A353E2" w:rsidRPr="00E465D0">
        <w:rPr>
          <w:shd w:val="clear" w:color="auto" w:fill="FFFFFF"/>
        </w:rPr>
        <w:t xml:space="preserve">. For example, focusing just </w:t>
      </w:r>
      <w:r w:rsidR="003E1E42" w:rsidRPr="00E465D0">
        <w:rPr>
          <w:shd w:val="clear" w:color="auto" w:fill="FFFFFF"/>
        </w:rPr>
        <w:t xml:space="preserve">on </w:t>
      </w:r>
      <w:r w:rsidR="00A353E2" w:rsidRPr="00E465D0">
        <w:rPr>
          <w:shd w:val="clear" w:color="auto" w:fill="FFFFFF"/>
        </w:rPr>
        <w:t xml:space="preserve">non-grocery shopping episodes, </w:t>
      </w:r>
      <w:r w:rsidR="00AF0785" w:rsidRPr="00E465D0">
        <w:rPr>
          <w:shd w:val="clear" w:color="auto" w:fill="FFFFFF"/>
        </w:rPr>
        <w:t xml:space="preserve">prior to the COVID-19 pandemic, the average person in the US embarked on 0.84 trips per day. However, following the pandemic, this figure declined to 0.49 trips per day (Federal Highway Administration, 2017; Federal Highway Administration, 2022). </w:t>
      </w:r>
      <w:r w:rsidR="00C21AE3" w:rsidRPr="00E465D0">
        <w:rPr>
          <w:shd w:val="clear" w:color="auto" w:fill="FFFFFF"/>
        </w:rPr>
        <w:t xml:space="preserve">Of course, some studies have also brought out the point that virtual </w:t>
      </w:r>
      <w:r w:rsidR="00587DB2" w:rsidRPr="00E465D0">
        <w:rPr>
          <w:shd w:val="clear" w:color="auto" w:fill="FFFFFF"/>
        </w:rPr>
        <w:t xml:space="preserve">(including telework) </w:t>
      </w:r>
      <w:r w:rsidR="00C21AE3" w:rsidRPr="00E465D0">
        <w:rPr>
          <w:shd w:val="clear" w:color="auto" w:fill="FFFFFF"/>
        </w:rPr>
        <w:t xml:space="preserve">and in-person pursuits for nonwork activities are blending seamlessly in </w:t>
      </w:r>
      <w:r w:rsidR="00CE014E" w:rsidRPr="00E465D0">
        <w:rPr>
          <w:shd w:val="clear" w:color="auto" w:fill="FFFFFF"/>
        </w:rPr>
        <w:t xml:space="preserve">time and space in </w:t>
      </w:r>
      <w:r w:rsidR="00C21AE3" w:rsidRPr="00E465D0">
        <w:rPr>
          <w:shd w:val="clear" w:color="auto" w:fill="FFFFFF"/>
        </w:rPr>
        <w:t xml:space="preserve">an increasingly e-commerce driven world (see Dias et al., </w:t>
      </w:r>
      <w:r w:rsidR="00CE014E" w:rsidRPr="00E465D0">
        <w:rPr>
          <w:shd w:val="clear" w:color="auto" w:fill="FFFFFF"/>
        </w:rPr>
        <w:t>202</w:t>
      </w:r>
      <w:r w:rsidR="009A7844" w:rsidRPr="00E465D0">
        <w:rPr>
          <w:shd w:val="clear" w:color="auto" w:fill="FFFFFF"/>
        </w:rPr>
        <w:t>0</w:t>
      </w:r>
      <w:r w:rsidR="00CE014E" w:rsidRPr="00E465D0">
        <w:rPr>
          <w:shd w:val="clear" w:color="auto" w:fill="FFFFFF"/>
        </w:rPr>
        <w:t xml:space="preserve">; Lavieri et al., 2018). These studies </w:t>
      </w:r>
      <w:r w:rsidRPr="00E465D0">
        <w:rPr>
          <w:shd w:val="clear" w:color="auto" w:fill="FFFFFF"/>
        </w:rPr>
        <w:t>suggest</w:t>
      </w:r>
      <w:r w:rsidR="00CE014E" w:rsidRPr="00E465D0">
        <w:rPr>
          <w:shd w:val="clear" w:color="auto" w:fill="FFFFFF"/>
        </w:rPr>
        <w:t xml:space="preserve"> that the package nature of decisions may be such that in-person out</w:t>
      </w:r>
      <w:r w:rsidR="001B4481" w:rsidRPr="00E465D0">
        <w:rPr>
          <w:shd w:val="clear" w:color="auto" w:fill="FFFFFF"/>
        </w:rPr>
        <w:t>side</w:t>
      </w:r>
      <w:r w:rsidR="00CE014E" w:rsidRPr="00E465D0">
        <w:rPr>
          <w:shd w:val="clear" w:color="auto" w:fill="FFFFFF"/>
        </w:rPr>
        <w:t xml:space="preserve">-of-home nonwork pursuits </w:t>
      </w:r>
      <w:r w:rsidR="00587DB2" w:rsidRPr="00E465D0">
        <w:rPr>
          <w:shd w:val="clear" w:color="auto" w:fill="FFFFFF"/>
        </w:rPr>
        <w:t xml:space="preserve">may </w:t>
      </w:r>
      <w:r w:rsidR="00CE014E" w:rsidRPr="00E465D0">
        <w:rPr>
          <w:shd w:val="clear" w:color="auto" w:fill="FFFFFF"/>
        </w:rPr>
        <w:t xml:space="preserve">rise together with the increasing ubiquitousness of </w:t>
      </w:r>
      <w:r w:rsidRPr="00E465D0">
        <w:rPr>
          <w:shd w:val="clear" w:color="auto" w:fill="FFFFFF"/>
        </w:rPr>
        <w:t>virtual participations, with the pandemic only appearing to have accelerated such tendencies</w:t>
      </w:r>
      <w:r w:rsidR="00CE014E" w:rsidRPr="00E465D0">
        <w:rPr>
          <w:shd w:val="clear" w:color="auto" w:fill="FFFFFF"/>
        </w:rPr>
        <w:t xml:space="preserve">. </w:t>
      </w:r>
      <w:r w:rsidR="00C05243" w:rsidRPr="00E465D0">
        <w:rPr>
          <w:shd w:val="clear" w:color="auto" w:fill="FFFFFF"/>
        </w:rPr>
        <w:lastRenderedPageBreak/>
        <w:t xml:space="preserve">Interestingly, </w:t>
      </w:r>
      <w:r w:rsidR="00182BB2" w:rsidRPr="00E465D0">
        <w:rPr>
          <w:shd w:val="clear" w:color="auto" w:fill="FFFFFF"/>
        </w:rPr>
        <w:t>d</w:t>
      </w:r>
      <w:r w:rsidR="00A353E2" w:rsidRPr="00E465D0">
        <w:rPr>
          <w:shd w:val="clear" w:color="auto" w:fill="FFFFFF"/>
        </w:rPr>
        <w:t xml:space="preserve">espite such </w:t>
      </w:r>
      <w:r w:rsidR="00CE014E" w:rsidRPr="00E465D0">
        <w:rPr>
          <w:shd w:val="clear" w:color="auto" w:fill="FFFFFF"/>
        </w:rPr>
        <w:t xml:space="preserve">potential disruptive </w:t>
      </w:r>
      <w:r w:rsidR="00A353E2" w:rsidRPr="00E465D0">
        <w:rPr>
          <w:shd w:val="clear" w:color="auto" w:fill="FFFFFF"/>
        </w:rPr>
        <w:t>changes in nonwork activity behavior, the post-</w:t>
      </w:r>
      <w:r w:rsidR="00A353E2" w:rsidRPr="00AB55F1">
        <w:rPr>
          <w:shd w:val="clear" w:color="auto" w:fill="FFFFFF"/>
        </w:rPr>
        <w:t>COVID literature on nonwork activity participation</w:t>
      </w:r>
      <w:r w:rsidR="00182BB2" w:rsidRPr="00AB55F1">
        <w:rPr>
          <w:shd w:val="clear" w:color="auto" w:fill="FFFFFF"/>
        </w:rPr>
        <w:t>s</w:t>
      </w:r>
      <w:r w:rsidR="00A353E2" w:rsidRPr="00AB55F1">
        <w:rPr>
          <w:shd w:val="clear" w:color="auto" w:fill="FFFFFF"/>
        </w:rPr>
        <w:t xml:space="preserve"> has been relatively scant</w:t>
      </w:r>
      <w:r w:rsidR="00182BB2" w:rsidRPr="00AB55F1">
        <w:rPr>
          <w:shd w:val="clear" w:color="auto" w:fill="FFFFFF"/>
        </w:rPr>
        <w:t xml:space="preserve"> compared to the post-COVID literature on work activity participation</w:t>
      </w:r>
      <w:r w:rsidR="00C05243" w:rsidRPr="00AB55F1">
        <w:rPr>
          <w:shd w:val="clear" w:color="auto" w:fill="FFFFFF"/>
        </w:rPr>
        <w:t>s</w:t>
      </w:r>
      <w:r w:rsidR="00182BB2" w:rsidRPr="00AB55F1">
        <w:rPr>
          <w:shd w:val="clear" w:color="auto" w:fill="FFFFFF"/>
        </w:rPr>
        <w:t>.</w:t>
      </w:r>
      <w:r w:rsidR="008565BB" w:rsidRPr="00AB55F1">
        <w:rPr>
          <w:shd w:val="clear" w:color="auto" w:fill="FFFFFF"/>
        </w:rPr>
        <w:t xml:space="preserve"> </w:t>
      </w:r>
    </w:p>
    <w:p w14:paraId="796D5CA8" w14:textId="4F047319" w:rsidR="00B95258" w:rsidRPr="00AB55F1" w:rsidRDefault="00182BB2" w:rsidP="00AB55F1">
      <w:pPr>
        <w:spacing w:after="0"/>
        <w:ind w:firstLine="720"/>
      </w:pPr>
      <w:r w:rsidRPr="00AB55F1">
        <w:rPr>
          <w:shd w:val="clear" w:color="auto" w:fill="FFFFFF"/>
        </w:rPr>
        <w:t xml:space="preserve">In addition to the relatively less attention on </w:t>
      </w:r>
      <w:r w:rsidR="008E4E3E" w:rsidRPr="00AB55F1">
        <w:rPr>
          <w:shd w:val="clear" w:color="auto" w:fill="FFFFFF"/>
        </w:rPr>
        <w:t>post</w:t>
      </w:r>
      <w:r w:rsidR="00C05243" w:rsidRPr="00AB55F1">
        <w:rPr>
          <w:shd w:val="clear" w:color="auto" w:fill="FFFFFF"/>
        </w:rPr>
        <w:t xml:space="preserve">-COVID </w:t>
      </w:r>
      <w:r w:rsidRPr="00AB55F1">
        <w:rPr>
          <w:shd w:val="clear" w:color="auto" w:fill="FFFFFF"/>
        </w:rPr>
        <w:t xml:space="preserve">nonwork activity </w:t>
      </w:r>
      <w:r w:rsidR="008565BB" w:rsidRPr="00AB55F1">
        <w:rPr>
          <w:shd w:val="clear" w:color="auto" w:fill="FFFFFF"/>
        </w:rPr>
        <w:t>researc</w:t>
      </w:r>
      <w:r w:rsidR="00C05243" w:rsidRPr="00AB55F1">
        <w:rPr>
          <w:shd w:val="clear" w:color="auto" w:fill="FFFFFF"/>
        </w:rPr>
        <w:t>h</w:t>
      </w:r>
      <w:r w:rsidRPr="00AB55F1">
        <w:rPr>
          <w:shd w:val="clear" w:color="auto" w:fill="FFFFFF"/>
        </w:rPr>
        <w:t xml:space="preserve">, </w:t>
      </w:r>
      <w:r w:rsidR="008565BB" w:rsidRPr="00AB55F1">
        <w:rPr>
          <w:shd w:val="clear" w:color="auto" w:fill="FFFFFF"/>
        </w:rPr>
        <w:t xml:space="preserve">it is </w:t>
      </w:r>
      <w:r w:rsidRPr="00AB55F1">
        <w:rPr>
          <w:shd w:val="clear" w:color="auto" w:fill="FFFFFF"/>
        </w:rPr>
        <w:t>note</w:t>
      </w:r>
      <w:r w:rsidR="008565BB" w:rsidRPr="00AB55F1">
        <w:rPr>
          <w:shd w:val="clear" w:color="auto" w:fill="FFFFFF"/>
        </w:rPr>
        <w:t>worthy</w:t>
      </w:r>
      <w:r w:rsidRPr="00AB55F1">
        <w:rPr>
          <w:shd w:val="clear" w:color="auto" w:fill="FFFFFF"/>
        </w:rPr>
        <w:t xml:space="preserve"> that even the few studies </w:t>
      </w:r>
      <w:r w:rsidR="00B95258" w:rsidRPr="00AB55F1">
        <w:rPr>
          <w:shd w:val="clear" w:color="auto" w:fill="FFFFFF"/>
        </w:rPr>
        <w:t>that examine nonwork activity participation</w:t>
      </w:r>
      <w:r w:rsidR="00C05243" w:rsidRPr="00AB55F1">
        <w:rPr>
          <w:shd w:val="clear" w:color="auto" w:fill="FFFFFF"/>
        </w:rPr>
        <w:t>s</w:t>
      </w:r>
      <w:r w:rsidR="00B95258" w:rsidRPr="00AB55F1">
        <w:rPr>
          <w:shd w:val="clear" w:color="auto" w:fill="FFFFFF"/>
        </w:rPr>
        <w:t xml:space="preserve"> in t</w:t>
      </w:r>
      <w:r w:rsidR="008565BB" w:rsidRPr="00AB55F1">
        <w:rPr>
          <w:shd w:val="clear" w:color="auto" w:fill="FFFFFF"/>
        </w:rPr>
        <w:t>he</w:t>
      </w:r>
      <w:r w:rsidR="00B95258" w:rsidRPr="00AB55F1">
        <w:rPr>
          <w:shd w:val="clear" w:color="auto" w:fill="FFFFFF"/>
        </w:rPr>
        <w:t xml:space="preserve"> new landscape assume that telework influences nonwork activity participations </w:t>
      </w:r>
      <w:r w:rsidR="00C05243" w:rsidRPr="00AB55F1">
        <w:rPr>
          <w:shd w:val="clear" w:color="auto" w:fill="FFFFFF"/>
        </w:rPr>
        <w:t>through</w:t>
      </w:r>
      <w:r w:rsidR="00B95258" w:rsidRPr="00AB55F1">
        <w:rPr>
          <w:shd w:val="clear" w:color="auto" w:fill="FFFFFF"/>
        </w:rPr>
        <w:t xml:space="preserve"> a strict one-directional causal pathway (see, for example, Haddad et al., 2023</w:t>
      </w:r>
      <w:r w:rsidR="00584186" w:rsidRPr="00AB55F1">
        <w:rPr>
          <w:shd w:val="clear" w:color="auto" w:fill="FFFFFF"/>
        </w:rPr>
        <w:t>; Huang et al., 2023</w:t>
      </w:r>
      <w:r w:rsidR="00B95258" w:rsidRPr="00AB55F1">
        <w:rPr>
          <w:shd w:val="clear" w:color="auto" w:fill="FFFFFF"/>
        </w:rPr>
        <w:t xml:space="preserve">). </w:t>
      </w:r>
      <w:bookmarkStart w:id="1" w:name="_Hlk167433969"/>
      <w:r w:rsidR="00B35BA5" w:rsidRPr="00AB55F1">
        <w:rPr>
          <w:shd w:val="clear" w:color="auto" w:fill="FFFFFF"/>
        </w:rPr>
        <w:t xml:space="preserve">One </w:t>
      </w:r>
      <w:r w:rsidR="00B95258" w:rsidRPr="00AB55F1">
        <w:rPr>
          <w:shd w:val="clear" w:color="auto" w:fill="FFFFFF"/>
        </w:rPr>
        <w:t>argument for such a</w:t>
      </w:r>
      <w:r w:rsidR="008565BB" w:rsidRPr="00AB55F1">
        <w:rPr>
          <w:shd w:val="clear" w:color="auto" w:fill="FFFFFF"/>
        </w:rPr>
        <w:t xml:space="preserve"> pathway</w:t>
      </w:r>
      <w:r w:rsidR="00B95258" w:rsidRPr="00AB55F1">
        <w:rPr>
          <w:shd w:val="clear" w:color="auto" w:fill="FFFFFF"/>
        </w:rPr>
        <w:t xml:space="preserve"> is that </w:t>
      </w:r>
      <w:r w:rsidR="00B95258" w:rsidRPr="00AB55F1">
        <w:t>telework releases the time spent commuting</w:t>
      </w:r>
      <w:r w:rsidR="003E1E42" w:rsidRPr="00AB55F1">
        <w:t xml:space="preserve"> and also leads to cost-savings</w:t>
      </w:r>
      <w:r w:rsidR="00B95258" w:rsidRPr="00AB55F1">
        <w:t xml:space="preserve">, which can then potentially be appropriated for additional </w:t>
      </w:r>
      <w:r w:rsidR="00100826" w:rsidRPr="00AB55F1">
        <w:t>out</w:t>
      </w:r>
      <w:r w:rsidR="001B4481" w:rsidRPr="00AB55F1">
        <w:t>side</w:t>
      </w:r>
      <w:r w:rsidR="00100826" w:rsidRPr="00AB55F1">
        <w:t xml:space="preserve">-of-home in-person (OHIP) </w:t>
      </w:r>
      <w:r w:rsidR="00B95258" w:rsidRPr="00AB55F1">
        <w:t>maintenance and leisure activity epi</w:t>
      </w:r>
      <w:r w:rsidR="003E1E42" w:rsidRPr="00AB55F1">
        <w:t>s</w:t>
      </w:r>
      <w:r w:rsidR="00B95258" w:rsidRPr="00AB55F1">
        <w:t>odes that may have been more difficult to schedule</w:t>
      </w:r>
      <w:r w:rsidR="003E1E42" w:rsidRPr="00AB55F1">
        <w:t>/undertake</w:t>
      </w:r>
      <w:r w:rsidR="00B95258" w:rsidRPr="00AB55F1">
        <w:t xml:space="preserve"> when commuting</w:t>
      </w:r>
      <w:r w:rsidR="00B35BA5" w:rsidRPr="00AB55F1">
        <w:t xml:space="preserve"> (</w:t>
      </w:r>
      <w:r w:rsidR="00584186" w:rsidRPr="00AB55F1">
        <w:t>Caldarola and Sorrell, 2022, Obeid et al., 2022, Huang et al., 2023</w:t>
      </w:r>
      <w:r w:rsidR="00B35BA5" w:rsidRPr="00AB55F1">
        <w:t xml:space="preserve">). </w:t>
      </w:r>
      <w:bookmarkEnd w:id="1"/>
      <w:r w:rsidR="00B35BA5" w:rsidRPr="00AB55F1">
        <w:t>However,</w:t>
      </w:r>
      <w:r w:rsidR="00B95258" w:rsidRPr="00AB55F1">
        <w:t xml:space="preserve"> </w:t>
      </w:r>
      <w:r w:rsidR="008565BB" w:rsidRPr="00AB55F1">
        <w:t xml:space="preserve">the relationship between telework and nonwork </w:t>
      </w:r>
      <w:r w:rsidR="00100826" w:rsidRPr="00AB55F1">
        <w:t xml:space="preserve">OHIP </w:t>
      </w:r>
      <w:r w:rsidR="008565BB" w:rsidRPr="00AB55F1">
        <w:t xml:space="preserve">activity participation </w:t>
      </w:r>
      <w:r w:rsidR="00B35BA5" w:rsidRPr="00AB55F1">
        <w:t>may be much more nuanced, because</w:t>
      </w:r>
      <w:r w:rsidR="00B95258" w:rsidRPr="00AB55F1">
        <w:t xml:space="preserve"> individuals who already partake (or desire to partake) in a high intensity of </w:t>
      </w:r>
      <w:r w:rsidR="00100826" w:rsidRPr="00AB55F1">
        <w:t xml:space="preserve">OHIP </w:t>
      </w:r>
      <w:r w:rsidR="00B95258" w:rsidRPr="00AB55F1">
        <w:t xml:space="preserve">maintenance and leisure activities </w:t>
      </w:r>
      <w:r w:rsidR="008638F3" w:rsidRPr="00AB55F1">
        <w:t xml:space="preserve">may </w:t>
      </w:r>
      <w:r w:rsidR="00B95258" w:rsidRPr="00AB55F1">
        <w:t>consciously choose to telework more to facilitate their chosen (or desired) high outside-of-home activity intensity lifestyle</w:t>
      </w:r>
      <w:r w:rsidR="00584186" w:rsidRPr="00AB55F1">
        <w:t xml:space="preserve"> (</w:t>
      </w:r>
      <w:bookmarkStart w:id="2" w:name="_Hlk167434665"/>
      <w:r w:rsidR="00584186" w:rsidRPr="00AB55F1">
        <w:t>Lila and Anjaneyulu, 2022</w:t>
      </w:r>
      <w:bookmarkEnd w:id="2"/>
      <w:r w:rsidR="00584186" w:rsidRPr="00AB55F1">
        <w:t>).</w:t>
      </w:r>
      <w:r w:rsidR="00B95258" w:rsidRPr="00AB55F1">
        <w:t xml:space="preserve"> This raises the question of the causal direction of effect: is telework the driver (or at least the facilitator) of </w:t>
      </w:r>
      <w:r w:rsidR="00B35BA5" w:rsidRPr="00AB55F1">
        <w:t xml:space="preserve">more </w:t>
      </w:r>
      <w:r w:rsidR="00B95258" w:rsidRPr="00AB55F1">
        <w:t xml:space="preserve">nonwork </w:t>
      </w:r>
      <w:r w:rsidR="00100826" w:rsidRPr="00AB55F1">
        <w:t>activity participation</w:t>
      </w:r>
      <w:r w:rsidR="005436E3" w:rsidRPr="00AB55F1">
        <w:t xml:space="preserve"> (which we refer to as the telework-to-play causal direction)</w:t>
      </w:r>
      <w:r w:rsidR="00040D93" w:rsidRPr="00AB55F1">
        <w:t>;</w:t>
      </w:r>
      <w:r w:rsidR="00B95258" w:rsidRPr="00AB55F1">
        <w:t xml:space="preserve"> or is telework the result of a desire for more nonwork </w:t>
      </w:r>
      <w:r w:rsidR="00100826" w:rsidRPr="00AB55F1">
        <w:t xml:space="preserve">activity participation </w:t>
      </w:r>
      <w:r w:rsidR="00B95258" w:rsidRPr="00AB55F1">
        <w:t>in the first place</w:t>
      </w:r>
      <w:r w:rsidR="00100826" w:rsidRPr="00AB55F1">
        <w:t xml:space="preserve"> (</w:t>
      </w:r>
      <w:r w:rsidR="005436E3" w:rsidRPr="00AB55F1">
        <w:t xml:space="preserve">which we refer to as the play-to-telework causal direction; also, </w:t>
      </w:r>
      <w:r w:rsidR="00100826" w:rsidRPr="00AB55F1">
        <w:t>in the rest of this paper, any reference to maintenance/leisure episodes or nonwork activity participation will be in the context of OHIP episodes)</w:t>
      </w:r>
      <w:r w:rsidR="00B95258" w:rsidRPr="00AB55F1">
        <w:t>. This causa</w:t>
      </w:r>
      <w:r w:rsidR="00040D93" w:rsidRPr="00AB55F1">
        <w:t>l direction</w:t>
      </w:r>
      <w:r w:rsidR="00B95258" w:rsidRPr="00AB55F1">
        <w:t xml:space="preserve"> issue, to our knowledge, has not even been adequately recognized in the telework-nonwork </w:t>
      </w:r>
      <w:r w:rsidR="00100826" w:rsidRPr="00AB55F1">
        <w:t xml:space="preserve">activity-travel </w:t>
      </w:r>
      <w:r w:rsidR="00B95258" w:rsidRPr="00AB55F1">
        <w:t>literature, let alone examined (in contrast, the causality direction question has been raised in the context of the telework-commute travel relationship, and has been extensively studied in a recent paper by Asmussen et al.</w:t>
      </w:r>
      <w:r w:rsidR="003512EF" w:rsidRPr="00AB55F1">
        <w:t xml:space="preserve">, </w:t>
      </w:r>
      <w:r w:rsidR="00B95258" w:rsidRPr="00AB55F1">
        <w:t>2024</w:t>
      </w:r>
      <w:r w:rsidR="00AB236A">
        <w:t>a</w:t>
      </w:r>
      <w:r w:rsidR="00B95258" w:rsidRPr="00AB55F1">
        <w:t xml:space="preserve">). If the causal effect is from telework to nonwork </w:t>
      </w:r>
      <w:r w:rsidR="00100826" w:rsidRPr="00AB55F1">
        <w:t>activity participation</w:t>
      </w:r>
      <w:r w:rsidR="00B95258" w:rsidRPr="00AB55F1">
        <w:t>, this</w:t>
      </w:r>
      <w:r w:rsidR="003E1E42" w:rsidRPr="00AB55F1">
        <w:t xml:space="preserve"> may </w:t>
      </w:r>
      <w:r w:rsidR="00B95258" w:rsidRPr="00AB55F1">
        <w:t>imply that telework would increase nonwork travel</w:t>
      </w:r>
      <w:r w:rsidR="00100826" w:rsidRPr="00AB55F1">
        <w:t xml:space="preserve"> episodes</w:t>
      </w:r>
      <w:r w:rsidR="00B95258" w:rsidRPr="00AB55F1">
        <w:t>, and may even offset any reduction in commute travel to the point that there is an overall increase in total travel (in terms of number</w:t>
      </w:r>
      <w:r w:rsidR="00575FB2" w:rsidRPr="00AB55F1">
        <w:t xml:space="preserve"> of trips/vehicle</w:t>
      </w:r>
      <w:r w:rsidR="00B95258" w:rsidRPr="00AB55F1">
        <w:t xml:space="preserve"> miles of travel). </w:t>
      </w:r>
      <w:bookmarkStart w:id="3" w:name="_Hlk167435304"/>
      <w:r w:rsidR="00B95258" w:rsidRPr="00AB55F1">
        <w:t xml:space="preserve">On the other hand, if the causal effect is from nonwork </w:t>
      </w:r>
      <w:r w:rsidR="00575FB2" w:rsidRPr="00AB55F1">
        <w:t>activity participation</w:t>
      </w:r>
      <w:r w:rsidR="00B95258" w:rsidRPr="00AB55F1">
        <w:t xml:space="preserve"> to telework, this would imply that telework itself has no effect on the amount of nonwork travel, such that it has an overall positive benefit in terms of reducing traffic. </w:t>
      </w:r>
      <w:bookmarkEnd w:id="3"/>
      <w:r w:rsidR="00B95258" w:rsidRPr="00AB55F1">
        <w:t xml:space="preserve">It is also possible that the first causal direction holds for some individuals, while the second for other individuals. </w:t>
      </w:r>
    </w:p>
    <w:p w14:paraId="2B0F306F" w14:textId="4C286C60" w:rsidR="00584186" w:rsidRPr="00AB55F1" w:rsidRDefault="00584186" w:rsidP="00AB55F1">
      <w:pPr>
        <w:spacing w:after="0"/>
        <w:ind w:firstLine="720"/>
      </w:pPr>
      <w:r w:rsidRPr="00AB55F1">
        <w:t xml:space="preserve">Of course, any consideration of causality must also first accommodate the possibility that any relationship between telework and nonwork </w:t>
      </w:r>
      <w:r w:rsidR="00575FB2" w:rsidRPr="00AB55F1">
        <w:t>activity participation</w:t>
      </w:r>
      <w:r w:rsidRPr="00AB55F1">
        <w:t xml:space="preserve"> is a pure association between the two due to unobserved individual personality and lifestyle factors. Especially when trying to extract out causal effects from cross-sectional data, ignoring the jointness of the telework and nonwork </w:t>
      </w:r>
      <w:r w:rsidR="00575FB2" w:rsidRPr="00AB55F1">
        <w:t xml:space="preserve">activity </w:t>
      </w:r>
      <w:r w:rsidRPr="00AB55F1">
        <w:t xml:space="preserve">decisions can lead to biased estimates of the causal direction of effects and their magnitudes. For instance, those who are relatively introverted may choose to telework more and make a conscious decision to engage in less maintenance and leisure activities (this would be an example of a negative unobserved correlation between telework tendency and nonwork </w:t>
      </w:r>
      <w:r w:rsidR="00575FB2" w:rsidRPr="00AB55F1">
        <w:t>activity</w:t>
      </w:r>
      <w:r w:rsidRPr="00AB55F1">
        <w:t xml:space="preserve"> generation, due to the intrinsic introverted nature of an individual). If ignored, this would underestimate any positive effect of telework on nonwork </w:t>
      </w:r>
      <w:r w:rsidR="00575FB2" w:rsidRPr="00AB55F1">
        <w:t xml:space="preserve">activity participation </w:t>
      </w:r>
      <w:r w:rsidRPr="00AB55F1">
        <w:t xml:space="preserve">(if that is the causal direction of effect) and would also underestimate any positive effect of nonwork </w:t>
      </w:r>
      <w:r w:rsidR="00575FB2" w:rsidRPr="00AB55F1">
        <w:t>activity participation on</w:t>
      </w:r>
      <w:r w:rsidRPr="00AB55F1">
        <w:t xml:space="preserve"> telework choice (if the causal direction of effect is from nonwork</w:t>
      </w:r>
      <w:r w:rsidR="00575FB2" w:rsidRPr="00AB55F1">
        <w:t xml:space="preserve"> activity participation</w:t>
      </w:r>
      <w:r w:rsidRPr="00AB55F1">
        <w:t xml:space="preserve"> to telework). Or, those who are socially extroverted may be the ones taking advantage of telework opportunities and also choosing to consciously participate in more maintenance and </w:t>
      </w:r>
      <w:r w:rsidRPr="00AB55F1">
        <w:lastRenderedPageBreak/>
        <w:t xml:space="preserve">leisure activities (this would be an example of a positive unobserved correlation between telework tendency and nonwork </w:t>
      </w:r>
      <w:r w:rsidR="00575FB2" w:rsidRPr="00AB55F1">
        <w:t>activity participation</w:t>
      </w:r>
      <w:r w:rsidRPr="00AB55F1">
        <w:t xml:space="preserve">, due to the intrinsic extroverted nature of an individual). If ignored, this would overestimate the positive effect of telework on nonwork </w:t>
      </w:r>
      <w:r w:rsidR="00575FB2" w:rsidRPr="00AB55F1">
        <w:t>activity participation</w:t>
      </w:r>
      <w:r w:rsidRPr="00AB55F1">
        <w:t xml:space="preserve"> (if that is the causal direction of effect) and would also overestimate the positive effect of nonwork </w:t>
      </w:r>
      <w:r w:rsidR="00575FB2" w:rsidRPr="00AB55F1">
        <w:t xml:space="preserve">activity participation </w:t>
      </w:r>
      <w:r w:rsidRPr="00AB55F1">
        <w:t xml:space="preserve">on telework choice (if that is the causal direction of effect). Thus, it is important to consider telework intensities and nonwork </w:t>
      </w:r>
      <w:r w:rsidR="00575FB2" w:rsidRPr="00AB55F1">
        <w:t xml:space="preserve">activity participation </w:t>
      </w:r>
      <w:r w:rsidRPr="00AB55F1">
        <w:t xml:space="preserve">as a joint package impacted by unobserved individual personality and lifestyle characteristics, and then examine causal directionality effects. </w:t>
      </w:r>
    </w:p>
    <w:p w14:paraId="00C1E174" w14:textId="1A9C4E72" w:rsidR="00584186" w:rsidRPr="00AB55F1" w:rsidRDefault="00584186" w:rsidP="00AB55F1">
      <w:pPr>
        <w:spacing w:after="0"/>
        <w:ind w:firstLine="720"/>
      </w:pPr>
      <w:bookmarkStart w:id="4" w:name="_Hlk173039191"/>
      <w:r w:rsidRPr="00AB55F1">
        <w:t xml:space="preserve">Motivated by the discussion above, </w:t>
      </w:r>
      <w:bookmarkEnd w:id="4"/>
      <w:r w:rsidRPr="00AB55F1">
        <w:t xml:space="preserve">in this study, we explore the causal direction/jointness issue underlying the interplay of teleworking choice and nonwork </w:t>
      </w:r>
      <w:r w:rsidR="00575FB2" w:rsidRPr="00AB55F1">
        <w:t>activity participation</w:t>
      </w:r>
      <w:r w:rsidRPr="00AB55F1">
        <w:t>, within the context of the t</w:t>
      </w:r>
      <w:r w:rsidR="00575FB2" w:rsidRPr="00AB55F1">
        <w:t xml:space="preserve">ransportation, technology, and work environment </w:t>
      </w:r>
      <w:r w:rsidRPr="00AB55F1">
        <w:t xml:space="preserve">landscape in the aftermath of the pandemic. In particular, we model the telework frequency, maintenance </w:t>
      </w:r>
      <w:r w:rsidR="00575FB2" w:rsidRPr="00AB55F1">
        <w:t>episode</w:t>
      </w:r>
      <w:r w:rsidRPr="00AB55F1">
        <w:t xml:space="preserve"> frequency, and leisure </w:t>
      </w:r>
      <w:r w:rsidR="00575FB2" w:rsidRPr="00AB55F1">
        <w:t>episode</w:t>
      </w:r>
      <w:r w:rsidRPr="00AB55F1">
        <w:t xml:space="preserve"> frequency decision-making process as a package choice to account for unobserved factors, as well as use a latent segmentation approach to recognize the two possible and distinct causal behavioral directions that may be at play. Through the latent segmentation model we characterize the population into two segments: (1) those for whom telework frequency impacts nonwork </w:t>
      </w:r>
      <w:r w:rsidR="00575FB2" w:rsidRPr="00AB55F1">
        <w:t>activity participation</w:t>
      </w:r>
      <w:r w:rsidRPr="00AB55F1">
        <w:t xml:space="preserve">, and (2) those for whom nonwork </w:t>
      </w:r>
      <w:r w:rsidR="00575FB2" w:rsidRPr="00AB55F1">
        <w:t>activity participation</w:t>
      </w:r>
      <w:r w:rsidRPr="00AB55F1">
        <w:t xml:space="preserve"> influences telework frequency. The methodology combines an ordinal choice model for telework adoption/intensity with weekly count models (based on a generalized ordered-response model reformulation of count models; see Bhat et al., 2015) for the number of maintenance and leisure </w:t>
      </w:r>
      <w:r w:rsidR="00575FB2" w:rsidRPr="00AB55F1">
        <w:t>episodes</w:t>
      </w:r>
      <w:r w:rsidRPr="00AB55F1">
        <w:t xml:space="preserve">. The data for the analysis is drawn from a 2021-2022 weekly travel diary and survey of Minnesotan workers. </w:t>
      </w:r>
    </w:p>
    <w:p w14:paraId="28F2CB6D" w14:textId="3FD30794" w:rsidR="00584186" w:rsidRPr="00AB55F1" w:rsidRDefault="00584186" w:rsidP="00AB55F1">
      <w:pPr>
        <w:spacing w:after="0"/>
        <w:ind w:firstLine="720"/>
      </w:pPr>
      <w:r w:rsidRPr="000B4798">
        <w:t>Th</w:t>
      </w:r>
      <w:r w:rsidR="00035CAA" w:rsidRPr="000B4798">
        <w:t>e rest of this</w:t>
      </w:r>
      <w:r w:rsidRPr="000B4798">
        <w:t xml:space="preserve"> paper is structured as follows. In Section 2, we offer a concise overview of pertinent literature, contextualizing the current research within the broader scholarly landscape. Section 3 details the survey administration process, data preparation steps, and the analytic framework.</w:t>
      </w:r>
      <w:r w:rsidR="00035CAA" w:rsidRPr="000B4798">
        <w:t xml:space="preserve"> </w:t>
      </w:r>
      <w:r w:rsidRPr="000B4798">
        <w:t>Section 4</w:t>
      </w:r>
      <w:r w:rsidR="00035CAA" w:rsidRPr="000B4798">
        <w:t xml:space="preserve"> </w:t>
      </w:r>
      <w:r w:rsidR="005A3E03" w:rsidRPr="000B4798">
        <w:t xml:space="preserve">discusses the methodology, while Section 5 </w:t>
      </w:r>
      <w:r w:rsidRPr="000B4798">
        <w:t>present</w:t>
      </w:r>
      <w:r w:rsidR="00035CAA" w:rsidRPr="000B4798">
        <w:t>s</w:t>
      </w:r>
      <w:r w:rsidRPr="000B4798">
        <w:t xml:space="preserve"> the results of model estimation and goodness of fit measures. Section </w:t>
      </w:r>
      <w:r w:rsidR="005A3E03" w:rsidRPr="000B4798">
        <w:t>6</w:t>
      </w:r>
      <w:r w:rsidRPr="000B4798">
        <w:t xml:space="preserve"> </w:t>
      </w:r>
      <w:r w:rsidR="00035CAA" w:rsidRPr="000B4798">
        <w:t xml:space="preserve">translates the estimation results to </w:t>
      </w:r>
      <w:r w:rsidR="00FE0D98" w:rsidRPr="000B4798">
        <w:t xml:space="preserve">an </w:t>
      </w:r>
      <w:r w:rsidR="00035CAA" w:rsidRPr="000B4798">
        <w:t>evaluati</w:t>
      </w:r>
      <w:r w:rsidR="00FE0D98" w:rsidRPr="000B4798">
        <w:t xml:space="preserve">on of </w:t>
      </w:r>
      <w:r w:rsidR="00035CAA" w:rsidRPr="000B4798">
        <w:t xml:space="preserve">the impacts of teleworking on </w:t>
      </w:r>
      <w:r w:rsidRPr="000B4798">
        <w:t xml:space="preserve">nonwork </w:t>
      </w:r>
      <w:r w:rsidR="00035CAA" w:rsidRPr="000B4798">
        <w:t xml:space="preserve">activity episodes </w:t>
      </w:r>
      <w:r w:rsidRPr="000B4798">
        <w:t xml:space="preserve">and its policy implications. </w:t>
      </w:r>
      <w:r w:rsidR="00035CAA" w:rsidRPr="000B4798">
        <w:t>Finally</w:t>
      </w:r>
      <w:r w:rsidRPr="000B4798">
        <w:t xml:space="preserve">, Section </w:t>
      </w:r>
      <w:r w:rsidR="005A3E03" w:rsidRPr="000B4798">
        <w:t>7</w:t>
      </w:r>
      <w:r w:rsidRPr="000B4798">
        <w:t xml:space="preserve"> concludes the paper by providing a summary discussion and identifying future research directions and study limitations.</w:t>
      </w:r>
    </w:p>
    <w:p w14:paraId="2AD61B8C" w14:textId="77777777" w:rsidR="00AB55F1" w:rsidRPr="00AB55F1" w:rsidRDefault="00AB55F1" w:rsidP="00AB55F1">
      <w:pPr>
        <w:spacing w:after="0"/>
      </w:pPr>
    </w:p>
    <w:p w14:paraId="3076F67D" w14:textId="6D63E9EC" w:rsidR="00371782" w:rsidRPr="00AB55F1" w:rsidRDefault="00B10E15" w:rsidP="00AB55F1">
      <w:pPr>
        <w:pStyle w:val="Heading1"/>
        <w:spacing w:before="0"/>
      </w:pPr>
      <w:r w:rsidRPr="00AB55F1">
        <w:rPr>
          <w:shd w:val="clear" w:color="auto" w:fill="FFFFFF"/>
        </w:rPr>
        <w:t xml:space="preserve">OVERVIEW OF EARLIER RELEVANT </w:t>
      </w:r>
      <w:r w:rsidR="00371782" w:rsidRPr="00AB55F1">
        <w:t>LITERATURE</w:t>
      </w:r>
    </w:p>
    <w:p w14:paraId="70890034" w14:textId="63AFB595" w:rsidR="00371782" w:rsidRPr="00AB55F1" w:rsidRDefault="00371782" w:rsidP="00AB55F1">
      <w:pPr>
        <w:pStyle w:val="Heading2"/>
        <w:spacing w:before="0"/>
      </w:pPr>
      <w:r w:rsidRPr="00AB55F1">
        <w:t xml:space="preserve">General </w:t>
      </w:r>
      <w:r w:rsidR="00AB55F1">
        <w:t>O</w:t>
      </w:r>
      <w:r w:rsidRPr="00AB55F1">
        <w:t xml:space="preserve">verview </w:t>
      </w:r>
    </w:p>
    <w:p w14:paraId="50988DE0" w14:textId="09577973" w:rsidR="00AB55F1" w:rsidRPr="00AB55F1" w:rsidRDefault="00B10E15" w:rsidP="00AB55F1">
      <w:pPr>
        <w:spacing w:after="0"/>
      </w:pPr>
      <w:r w:rsidRPr="00AB55F1">
        <w:t>Even p</w:t>
      </w:r>
      <w:r w:rsidR="00371782" w:rsidRPr="00AB55F1">
        <w:t xml:space="preserve">rior to the pandemic, </w:t>
      </w:r>
      <w:r w:rsidRPr="00AB55F1">
        <w:t xml:space="preserve">there was a significant body of literature exploring the impact of telework on overall (combined work and nonwork) </w:t>
      </w:r>
      <w:r w:rsidR="002A77A5" w:rsidRPr="00AB55F1">
        <w:t>activity-travel</w:t>
      </w:r>
      <w:r w:rsidRPr="00AB55F1">
        <w:t xml:space="preserve"> or </w:t>
      </w:r>
      <w:r w:rsidR="008638F3" w:rsidRPr="00AB55F1">
        <w:t xml:space="preserve">on </w:t>
      </w:r>
      <w:r w:rsidRPr="00AB55F1">
        <w:t xml:space="preserve">work-related travel specifically (see, for example, Nilles, 1991; Balepur </w:t>
      </w:r>
      <w:r w:rsidR="00AB608F" w:rsidRPr="00AB55F1">
        <w:t xml:space="preserve">et </w:t>
      </w:r>
      <w:r w:rsidRPr="00AB55F1">
        <w:t>al., 1998; Mokhtarian et al</w:t>
      </w:r>
      <w:r w:rsidR="00A904B4" w:rsidRPr="00AB55F1">
        <w:t>.</w:t>
      </w:r>
      <w:r w:rsidRPr="00AB55F1">
        <w:t xml:space="preserve">, 2004; Helminen and Ristimaki, 2007; Ettema, 2010; Fu et al., 2012; </w:t>
      </w:r>
      <w:r w:rsidR="00D34084" w:rsidRPr="00AB55F1">
        <w:t xml:space="preserve">de </w:t>
      </w:r>
      <w:r w:rsidR="00371782" w:rsidRPr="00AB55F1">
        <w:t>Abreu e Silva and Melo, 2018; Shabanpour et al., 2018</w:t>
      </w:r>
      <w:r w:rsidRPr="00AB55F1">
        <w:t>; and DeVos et al., 2019</w:t>
      </w:r>
      <w:r w:rsidR="00371782" w:rsidRPr="00AB55F1">
        <w:t>)</w:t>
      </w:r>
      <w:r w:rsidRPr="00AB55F1">
        <w:t xml:space="preserve">. Almost all of these studies </w:t>
      </w:r>
      <w:r w:rsidR="00AD1BCF" w:rsidRPr="00AB55F1">
        <w:t xml:space="preserve">have </w:t>
      </w:r>
      <w:r w:rsidRPr="00AB55F1">
        <w:t>examined telework effects on vehicle miles of travel</w:t>
      </w:r>
      <w:r w:rsidR="008638F3" w:rsidRPr="00AB55F1">
        <w:t xml:space="preserve"> as the travel dimension of analysis</w:t>
      </w:r>
      <w:r w:rsidRPr="00AB55F1">
        <w:t xml:space="preserve">, using either a year or a day or the peak </w:t>
      </w:r>
      <w:r w:rsidR="002C1334" w:rsidRPr="00AB55F1">
        <w:t>period as the time unit of analysis.</w:t>
      </w:r>
      <w:r w:rsidR="00F71A46" w:rsidRPr="00AB55F1">
        <w:t xml:space="preserve"> </w:t>
      </w:r>
      <w:r w:rsidR="008638F3" w:rsidRPr="00AB55F1">
        <w:t xml:space="preserve">The </w:t>
      </w:r>
      <w:r w:rsidR="002A77A5" w:rsidRPr="00AB55F1">
        <w:t xml:space="preserve">study of telework effects on activity-travel characteristics has further intensified </w:t>
      </w:r>
      <w:r w:rsidR="00A700B5" w:rsidRPr="00AB55F1">
        <w:t>in the aftermath of the pandemic</w:t>
      </w:r>
      <w:r w:rsidR="00F71A46" w:rsidRPr="00AB55F1">
        <w:t xml:space="preserve">, </w:t>
      </w:r>
      <w:r w:rsidR="002A77A5" w:rsidRPr="00AB55F1">
        <w:t xml:space="preserve">especially in the context of </w:t>
      </w:r>
      <w:r w:rsidR="00AD1BCF" w:rsidRPr="00AB55F1">
        <w:t xml:space="preserve">work-related travel </w:t>
      </w:r>
      <w:r w:rsidR="00A700B5" w:rsidRPr="00AB55F1">
        <w:t>(see, for example, Kim and Long, 2022; de Abreu e Silva, 2022; Tahlyan et al., 2022</w:t>
      </w:r>
      <w:r w:rsidR="00AD1BCF" w:rsidRPr="00AB55F1">
        <w:t xml:space="preserve">; please </w:t>
      </w:r>
      <w:r w:rsidR="00A700B5" w:rsidRPr="00AB55F1">
        <w:t>refer to Asmussen et al., 2024</w:t>
      </w:r>
      <w:r w:rsidR="00AB236A">
        <w:t>a</w:t>
      </w:r>
      <w:r w:rsidR="00A700B5" w:rsidRPr="00AB55F1">
        <w:t xml:space="preserve"> for </w:t>
      </w:r>
      <w:r w:rsidR="00AD1BCF" w:rsidRPr="00AB55F1">
        <w:t>an extensive</w:t>
      </w:r>
      <w:r w:rsidR="00A700B5" w:rsidRPr="00AB55F1">
        <w:t xml:space="preserve"> review of </w:t>
      </w:r>
      <w:r w:rsidR="00AD1BCF" w:rsidRPr="00AB55F1">
        <w:t xml:space="preserve"> such</w:t>
      </w:r>
      <w:r w:rsidR="00A700B5" w:rsidRPr="00AB55F1">
        <w:t xml:space="preserve"> studies)</w:t>
      </w:r>
      <w:r w:rsidR="00AD1BCF" w:rsidRPr="00AB55F1">
        <w:t>.</w:t>
      </w:r>
      <w:r w:rsidR="00A700B5" w:rsidRPr="00AB55F1">
        <w:t xml:space="preserve"> </w:t>
      </w:r>
      <w:r w:rsidR="00AD1BCF" w:rsidRPr="00AB55F1">
        <w:t xml:space="preserve">In this regard, there has been </w:t>
      </w:r>
      <w:r w:rsidR="00ED01CF" w:rsidRPr="00AB55F1">
        <w:t xml:space="preserve">relatively </w:t>
      </w:r>
      <w:r w:rsidR="00A700B5" w:rsidRPr="00AB55F1">
        <w:t>limited research explor</w:t>
      </w:r>
      <w:r w:rsidR="00AD1BCF" w:rsidRPr="00AB55F1">
        <w:t xml:space="preserve">ing </w:t>
      </w:r>
      <w:r w:rsidR="00A700B5" w:rsidRPr="00AB55F1">
        <w:t xml:space="preserve">the </w:t>
      </w:r>
      <w:r w:rsidR="00AD1BCF" w:rsidRPr="00AB55F1">
        <w:t>relationship</w:t>
      </w:r>
      <w:r w:rsidR="00A700B5" w:rsidRPr="00AB55F1">
        <w:t xml:space="preserve"> between telework and nonwork-related </w:t>
      </w:r>
      <w:r w:rsidR="00AD1BCF" w:rsidRPr="00AB55F1">
        <w:t>activity-</w:t>
      </w:r>
      <w:r w:rsidR="00A700B5" w:rsidRPr="00AB55F1">
        <w:t xml:space="preserve">travel. Furthermore, </w:t>
      </w:r>
      <w:r w:rsidR="00AD1BCF" w:rsidRPr="00AB55F1">
        <w:t xml:space="preserve">no study that we are aware of (before or after the pandemic) has </w:t>
      </w:r>
      <w:r w:rsidR="00A700B5" w:rsidRPr="00AB55F1">
        <w:t>examin</w:t>
      </w:r>
      <w:r w:rsidR="00AD1BCF" w:rsidRPr="00AB55F1">
        <w:t>ed</w:t>
      </w:r>
      <w:r w:rsidR="00A700B5" w:rsidRPr="00AB55F1">
        <w:t xml:space="preserve"> the </w:t>
      </w:r>
      <w:r w:rsidR="00AD1BCF" w:rsidRPr="00AB55F1">
        <w:t xml:space="preserve">potential </w:t>
      </w:r>
      <w:r w:rsidR="00FE0D98" w:rsidRPr="00AB55F1">
        <w:t xml:space="preserve">heterogeneity across individuals in the </w:t>
      </w:r>
      <w:r w:rsidR="00FE0D98" w:rsidRPr="00AB55F1">
        <w:lastRenderedPageBreak/>
        <w:t xml:space="preserve">causal </w:t>
      </w:r>
      <w:r w:rsidR="00A700B5" w:rsidRPr="00AB55F1">
        <w:t>relationship between telework and nonwork-related travel</w:t>
      </w:r>
      <w:r w:rsidR="00AD1BCF" w:rsidRPr="00AB55F1">
        <w:t>.</w:t>
      </w:r>
      <w:r w:rsidR="002A77A5" w:rsidRPr="00AB55F1">
        <w:t xml:space="preserve"> That is, </w:t>
      </w:r>
      <w:r w:rsidR="00371782" w:rsidRPr="00AB55F1">
        <w:t xml:space="preserve">previous </w:t>
      </w:r>
      <w:r w:rsidR="00556842" w:rsidRPr="00AB55F1">
        <w:t xml:space="preserve">telework-nonwork </w:t>
      </w:r>
      <w:r w:rsidR="002A77A5" w:rsidRPr="00AB55F1">
        <w:t xml:space="preserve">activity studies </w:t>
      </w:r>
      <w:r w:rsidR="00371782" w:rsidRPr="00AB55F1">
        <w:t xml:space="preserve">either consider teleworking as </w:t>
      </w:r>
      <w:r w:rsidR="002A77A5" w:rsidRPr="00AB55F1">
        <w:t xml:space="preserve">affecting the </w:t>
      </w:r>
      <w:r w:rsidR="00371782" w:rsidRPr="00AB55F1">
        <w:t>plannin</w:t>
      </w:r>
      <w:r w:rsidR="002A77A5" w:rsidRPr="00AB55F1">
        <w:t>g/</w:t>
      </w:r>
      <w:r w:rsidR="00371782" w:rsidRPr="00AB55F1">
        <w:t>engag</w:t>
      </w:r>
      <w:r w:rsidR="002A77A5" w:rsidRPr="00AB55F1">
        <w:t>ement of</w:t>
      </w:r>
      <w:r w:rsidR="00371782" w:rsidRPr="00AB55F1">
        <w:t xml:space="preserve"> nonwork </w:t>
      </w:r>
      <w:r w:rsidR="00556842" w:rsidRPr="00AB55F1">
        <w:t>activity-</w:t>
      </w:r>
      <w:r w:rsidR="00371782" w:rsidRPr="00AB55F1">
        <w:t xml:space="preserve">travel </w:t>
      </w:r>
      <w:r w:rsidR="00FE0D98" w:rsidRPr="00AB55F1">
        <w:t>for all individuals</w:t>
      </w:r>
      <w:r w:rsidR="004A51D9" w:rsidRPr="00AB55F1">
        <w:t>,</w:t>
      </w:r>
      <w:r w:rsidR="00FE0D98" w:rsidRPr="00AB55F1">
        <w:t xml:space="preserve"> </w:t>
      </w:r>
      <w:r w:rsidR="002A77A5" w:rsidRPr="00AB55F1">
        <w:t>or consider nonwork activity-travel as affecting the adoption/intensity of teleworking</w:t>
      </w:r>
      <w:r w:rsidR="00FE0D98" w:rsidRPr="00AB55F1">
        <w:t xml:space="preserve"> for all individuals</w:t>
      </w:r>
      <w:r w:rsidR="005048C0" w:rsidRPr="00AB55F1">
        <w:t xml:space="preserve">. </w:t>
      </w:r>
      <w:r w:rsidR="00371782" w:rsidRPr="00AB55F1">
        <w:t>For brevity</w:t>
      </w:r>
      <w:r w:rsidR="00556842" w:rsidRPr="00AB55F1">
        <w:t>,</w:t>
      </w:r>
      <w:r w:rsidR="00371782" w:rsidRPr="00AB55F1">
        <w:t xml:space="preserve"> in the remainder of this paper, we will refer to the first causal direction of effect as TN (teleworking first, nonwork </w:t>
      </w:r>
      <w:r w:rsidR="00556842" w:rsidRPr="00AB55F1">
        <w:t>activity-</w:t>
      </w:r>
      <w:r w:rsidR="00371782" w:rsidRPr="00AB55F1">
        <w:t xml:space="preserve">travel next) and the second as NT (nonwork </w:t>
      </w:r>
      <w:r w:rsidR="00556842" w:rsidRPr="00AB55F1">
        <w:t>activity-</w:t>
      </w:r>
      <w:r w:rsidR="00371782" w:rsidRPr="00AB55F1">
        <w:t>travel first, teleworking next).</w:t>
      </w:r>
    </w:p>
    <w:p w14:paraId="7D80BDDA" w14:textId="72EB86A0" w:rsidR="00A216EA" w:rsidRPr="00AB55F1" w:rsidRDefault="00371782" w:rsidP="00AB55F1">
      <w:pPr>
        <w:spacing w:after="0"/>
      </w:pPr>
      <w:r w:rsidRPr="00AB55F1">
        <w:t xml:space="preserve"> </w:t>
      </w:r>
    </w:p>
    <w:p w14:paraId="483AC580" w14:textId="3F10A8EF" w:rsidR="001816F4" w:rsidRPr="00AB55F1" w:rsidRDefault="001816F4" w:rsidP="00AB55F1">
      <w:pPr>
        <w:spacing w:after="0"/>
        <w:rPr>
          <w:u w:val="single"/>
        </w:rPr>
      </w:pPr>
      <w:r w:rsidRPr="00AB55F1">
        <w:rPr>
          <w:u w:val="single"/>
        </w:rPr>
        <w:t>TN Studie</w:t>
      </w:r>
      <w:r w:rsidR="006E4EB6" w:rsidRPr="00AB55F1">
        <w:rPr>
          <w:u w:val="single"/>
        </w:rPr>
        <w:t xml:space="preserve">s with a </w:t>
      </w:r>
      <w:r w:rsidR="00AB55F1">
        <w:rPr>
          <w:u w:val="single"/>
        </w:rPr>
        <w:t>S</w:t>
      </w:r>
      <w:r w:rsidR="006E4EB6" w:rsidRPr="00AB55F1">
        <w:rPr>
          <w:u w:val="single"/>
        </w:rPr>
        <w:t xml:space="preserve">ingle </w:t>
      </w:r>
      <w:r w:rsidR="00AB55F1">
        <w:rPr>
          <w:u w:val="single"/>
        </w:rPr>
        <w:t>N</w:t>
      </w:r>
      <w:r w:rsidR="009D37F0" w:rsidRPr="00AB55F1">
        <w:rPr>
          <w:u w:val="single"/>
        </w:rPr>
        <w:t>onwork</w:t>
      </w:r>
      <w:r w:rsidR="006E4EB6" w:rsidRPr="00AB55F1">
        <w:rPr>
          <w:u w:val="single"/>
        </w:rPr>
        <w:t xml:space="preserve"> </w:t>
      </w:r>
      <w:r w:rsidR="00AB55F1">
        <w:rPr>
          <w:u w:val="single"/>
        </w:rPr>
        <w:t>P</w:t>
      </w:r>
      <w:r w:rsidR="006E4EB6" w:rsidRPr="00AB55F1">
        <w:rPr>
          <w:u w:val="single"/>
        </w:rPr>
        <w:t xml:space="preserve">urpose </w:t>
      </w:r>
      <w:r w:rsidR="00AB55F1">
        <w:rPr>
          <w:u w:val="single"/>
        </w:rPr>
        <w:t>C</w:t>
      </w:r>
      <w:r w:rsidR="006E4EB6" w:rsidRPr="00AB55F1">
        <w:rPr>
          <w:u w:val="single"/>
        </w:rPr>
        <w:t>ategory</w:t>
      </w:r>
    </w:p>
    <w:p w14:paraId="27755AA3" w14:textId="5D194490" w:rsidR="00C21AE3" w:rsidRPr="00AB55F1" w:rsidRDefault="00371782" w:rsidP="00AB55F1">
      <w:pPr>
        <w:spacing w:after="0"/>
      </w:pPr>
      <w:r w:rsidRPr="00AB55F1">
        <w:t>Within the first large group of TN studies, the general consensus</w:t>
      </w:r>
      <w:r w:rsidR="00663E87" w:rsidRPr="00AB55F1">
        <w:t xml:space="preserve"> </w:t>
      </w:r>
      <w:r w:rsidR="006E4EB6" w:rsidRPr="00AB55F1">
        <w:t xml:space="preserve">among </w:t>
      </w:r>
      <w:r w:rsidR="000344CB" w:rsidRPr="00AB55F1">
        <w:t xml:space="preserve">recent </w:t>
      </w:r>
      <w:r w:rsidR="006E4EB6" w:rsidRPr="00AB55F1">
        <w:t xml:space="preserve">studies that consider all nonwork purposes together as a single </w:t>
      </w:r>
      <w:r w:rsidR="005048C0" w:rsidRPr="00AB55F1">
        <w:t>aggregate category</w:t>
      </w:r>
      <w:r w:rsidR="006E4EB6" w:rsidRPr="00AB55F1">
        <w:t xml:space="preserve"> </w:t>
      </w:r>
      <w:r w:rsidR="00663E87" w:rsidRPr="00AB55F1">
        <w:t>is that</w:t>
      </w:r>
      <w:r w:rsidRPr="00AB55F1">
        <w:t xml:space="preserve"> that </w:t>
      </w:r>
      <w:r w:rsidR="00663E87" w:rsidRPr="00AB55F1">
        <w:t xml:space="preserve">higher teleworking intensity </w:t>
      </w:r>
      <w:r w:rsidRPr="00AB55F1">
        <w:t>tends to lead to higher levels of nonwork travel</w:t>
      </w:r>
      <w:r w:rsidR="000344CB" w:rsidRPr="00AB55F1">
        <w:t xml:space="preserve"> (sometimes referred to as a rebound effect)</w:t>
      </w:r>
      <w:r w:rsidRPr="00AB55F1">
        <w:t>.</w:t>
      </w:r>
      <w:r w:rsidR="006E4EB6" w:rsidRPr="00AB55F1">
        <w:t xml:space="preserve"> These studies are briefly discussed below. </w:t>
      </w:r>
      <w:r w:rsidRPr="00AB55F1">
        <w:t xml:space="preserve"> </w:t>
      </w:r>
    </w:p>
    <w:p w14:paraId="782D18A5" w14:textId="52A8A6E4" w:rsidR="00F46B58" w:rsidRPr="00AB55F1" w:rsidRDefault="00371782" w:rsidP="00AB55F1">
      <w:pPr>
        <w:spacing w:after="0"/>
        <w:ind w:firstLine="720"/>
      </w:pPr>
      <w:r w:rsidRPr="00AB55F1">
        <w:t xml:space="preserve">Kim et al. (2015) explored the work and </w:t>
      </w:r>
      <w:r w:rsidR="009D37F0" w:rsidRPr="00AB55F1">
        <w:t>nonwork</w:t>
      </w:r>
      <w:r w:rsidRPr="00AB55F1">
        <w:t xml:space="preserve"> travel of households </w:t>
      </w:r>
      <w:r w:rsidR="0046611D" w:rsidRPr="00AB55F1">
        <w:t xml:space="preserve">in which </w:t>
      </w:r>
      <w:r w:rsidR="00663E87" w:rsidRPr="00AB55F1">
        <w:t xml:space="preserve">the </w:t>
      </w:r>
      <w:r w:rsidR="00DC7281" w:rsidRPr="00AB55F1">
        <w:t xml:space="preserve">primary </w:t>
      </w:r>
      <w:r w:rsidR="00663E87" w:rsidRPr="00AB55F1">
        <w:t xml:space="preserve">breadwinner </w:t>
      </w:r>
      <w:r w:rsidR="00DC7281" w:rsidRPr="00AB55F1">
        <w:t xml:space="preserve">(also labeled as the household head) </w:t>
      </w:r>
      <w:r w:rsidR="0046611D" w:rsidRPr="00AB55F1">
        <w:t xml:space="preserve">is </w:t>
      </w:r>
      <w:r w:rsidR="00663E87" w:rsidRPr="00AB55F1">
        <w:t xml:space="preserve">a white-collared </w:t>
      </w:r>
      <w:r w:rsidR="0046611D" w:rsidRPr="00AB55F1">
        <w:t xml:space="preserve">information </w:t>
      </w:r>
      <w:r w:rsidR="00663E87" w:rsidRPr="00AB55F1">
        <w:t>worker</w:t>
      </w:r>
      <w:r w:rsidR="00DC7281" w:rsidRPr="00AB55F1">
        <w:t xml:space="preserve"> and there are multiple individuals in the household</w:t>
      </w:r>
      <w:r w:rsidR="005048C0" w:rsidRPr="00AB55F1">
        <w:t>. They</w:t>
      </w:r>
      <w:r w:rsidR="0046611D" w:rsidRPr="00AB55F1">
        <w:t xml:space="preserve"> </w:t>
      </w:r>
      <w:r w:rsidR="00663E87" w:rsidRPr="00AB55F1">
        <w:t>us</w:t>
      </w:r>
      <w:r w:rsidR="005048C0" w:rsidRPr="00AB55F1">
        <w:t>ed</w:t>
      </w:r>
      <w:r w:rsidR="00663E87" w:rsidRPr="00AB55F1">
        <w:t xml:space="preserve"> data from a sample collected </w:t>
      </w:r>
      <w:r w:rsidRPr="00AB55F1">
        <w:t>in 2006</w:t>
      </w:r>
      <w:r w:rsidR="0046611D" w:rsidRPr="00AB55F1">
        <w:t xml:space="preserve"> in Seoul</w:t>
      </w:r>
      <w:r w:rsidRPr="00AB55F1">
        <w:t xml:space="preserve">. </w:t>
      </w:r>
      <w:r w:rsidR="0046611D" w:rsidRPr="00AB55F1">
        <w:t>Teleworking status is defined at a household level, with a positive (binary) indication if the breadwinner worked “regularly from home”</w:t>
      </w:r>
      <w:r w:rsidR="00336996" w:rsidRPr="00AB55F1">
        <w:t>.</w:t>
      </w:r>
      <w:r w:rsidR="0046611D" w:rsidRPr="00AB55F1">
        <w:t xml:space="preserve"> No additional specificity appear</w:t>
      </w:r>
      <w:r w:rsidR="00DC7281" w:rsidRPr="00AB55F1">
        <w:t>s</w:t>
      </w:r>
      <w:r w:rsidR="0046611D" w:rsidRPr="00AB55F1">
        <w:t xml:space="preserve"> to be available in what </w:t>
      </w:r>
      <w:r w:rsidR="005048C0" w:rsidRPr="00AB55F1">
        <w:t xml:space="preserve">was </w:t>
      </w:r>
      <w:r w:rsidR="0046611D" w:rsidRPr="00AB55F1">
        <w:t xml:space="preserve">characterized </w:t>
      </w:r>
      <w:r w:rsidR="00DC7281" w:rsidRPr="00AB55F1">
        <w:t xml:space="preserve">specifically as </w:t>
      </w:r>
      <w:r w:rsidR="0046611D" w:rsidRPr="00AB55F1">
        <w:t xml:space="preserve">working “regularly from home”. </w:t>
      </w:r>
      <w:r w:rsidR="00A216EA" w:rsidRPr="00AB55F1">
        <w:t xml:space="preserve">The nonwork travel dimensions included person kilometers of travel </w:t>
      </w:r>
      <w:r w:rsidR="00F52917" w:rsidRPr="00AB55F1">
        <w:t xml:space="preserve">(PKT) </w:t>
      </w:r>
      <w:r w:rsidR="00A216EA" w:rsidRPr="00AB55F1">
        <w:t>and vehicle kilometers of travel</w:t>
      </w:r>
      <w:r w:rsidR="00F52917" w:rsidRPr="00AB55F1">
        <w:t xml:space="preserve"> (VKT)</w:t>
      </w:r>
      <w:r w:rsidR="005048C0" w:rsidRPr="00AB55F1">
        <w:t xml:space="preserve"> </w:t>
      </w:r>
      <w:r w:rsidR="00A216EA" w:rsidRPr="00AB55F1">
        <w:t>for the household head as well as all other household members together</w:t>
      </w:r>
      <w:r w:rsidR="001605E3" w:rsidRPr="00AB55F1">
        <w:t xml:space="preserve"> (the nonwork travel dimensions were on a single weekday basis</w:t>
      </w:r>
      <w:r w:rsidR="00336996" w:rsidRPr="00AB55F1">
        <w:t>, though whether the breadwinner actually teleworked or not on the single weekday of data collection does not appear to be available</w:t>
      </w:r>
      <w:r w:rsidR="001605E3" w:rsidRPr="00AB55F1">
        <w:t>)</w:t>
      </w:r>
      <w:r w:rsidR="00A216EA" w:rsidRPr="00AB55F1">
        <w:t xml:space="preserve">. </w:t>
      </w:r>
      <w:r w:rsidRPr="00AB55F1">
        <w:t>Kim et al. found that</w:t>
      </w:r>
      <w:r w:rsidR="001605E3" w:rsidRPr="00AB55F1">
        <w:t xml:space="preserve">, across all households, there is an increase of </w:t>
      </w:r>
      <w:r w:rsidR="00F52917" w:rsidRPr="00AB55F1">
        <w:t xml:space="preserve">about </w:t>
      </w:r>
      <w:r w:rsidR="001605E3" w:rsidRPr="00AB55F1">
        <w:t>1.</w:t>
      </w:r>
      <w:r w:rsidR="00F52917" w:rsidRPr="00AB55F1">
        <w:t xml:space="preserve">2 kms. in the PKT of the teleworking head </w:t>
      </w:r>
      <w:r w:rsidR="005048C0" w:rsidRPr="00AB55F1">
        <w:t>(</w:t>
      </w:r>
      <w:r w:rsidR="00F52917" w:rsidRPr="00AB55F1">
        <w:t xml:space="preserve">and </w:t>
      </w:r>
      <w:r w:rsidR="005048C0" w:rsidRPr="00AB55F1">
        <w:t xml:space="preserve">also an increase of about 1.2 kms. in the PKT of </w:t>
      </w:r>
      <w:r w:rsidR="00F52917" w:rsidRPr="00AB55F1">
        <w:t xml:space="preserve">all other </w:t>
      </w:r>
      <w:r w:rsidRPr="00AB55F1">
        <w:t xml:space="preserve"> </w:t>
      </w:r>
      <w:r w:rsidR="00F52917" w:rsidRPr="00AB55F1">
        <w:t>household members</w:t>
      </w:r>
      <w:r w:rsidR="005048C0" w:rsidRPr="00AB55F1">
        <w:t xml:space="preserve">) </w:t>
      </w:r>
      <w:r w:rsidR="00F52917" w:rsidRPr="00AB55F1">
        <w:t xml:space="preserve">among teleworking-headed households relative to nonteleworking-headed households (which may be considered, in part, as a rebound effect caused by teleworking). On the VKT dimension, across all households, there is about a 0.85 kms increase in the VKT for the household head without any significant VKT impact for other household members. However, </w:t>
      </w:r>
      <w:r w:rsidR="00F46B58" w:rsidRPr="00AB55F1">
        <w:t xml:space="preserve">the VKT increase becomes substantive with an increase in nonworkers in the household and in households with fewer vehicles than workers. </w:t>
      </w:r>
      <w:r w:rsidR="001426DA" w:rsidRPr="00AB55F1">
        <w:t xml:space="preserve">Similar results are also found in a subsequent study by Kim (2017) using the same data set. </w:t>
      </w:r>
    </w:p>
    <w:p w14:paraId="0E661C2C" w14:textId="7D2DAFD0" w:rsidR="00830D3B" w:rsidRPr="00AB55F1" w:rsidRDefault="00371782" w:rsidP="00AB55F1">
      <w:pPr>
        <w:autoSpaceDE w:val="0"/>
        <w:autoSpaceDN w:val="0"/>
        <w:adjustRightInd w:val="0"/>
        <w:spacing w:after="0"/>
        <w:ind w:firstLine="720"/>
      </w:pPr>
      <w:r w:rsidRPr="00AB55F1">
        <w:t xml:space="preserve">More recently, Cerqueira et al. (2020) used a </w:t>
      </w:r>
      <w:r w:rsidR="00304E49" w:rsidRPr="00AB55F1">
        <w:t xml:space="preserve">seemingly unrelated regression equation (SURE) </w:t>
      </w:r>
      <w:r w:rsidRPr="00AB55F1">
        <w:t xml:space="preserve">approach to explore the </w:t>
      </w:r>
      <w:r w:rsidR="00EC3A2B" w:rsidRPr="00AB55F1">
        <w:t xml:space="preserve">differential </w:t>
      </w:r>
      <w:r w:rsidRPr="00AB55F1">
        <w:t xml:space="preserve">effects </w:t>
      </w:r>
      <w:r w:rsidR="00EC3A2B" w:rsidRPr="00AB55F1">
        <w:t xml:space="preserve">on weekly nonwork travel </w:t>
      </w:r>
      <w:r w:rsidRPr="00AB55F1">
        <w:t xml:space="preserve">of </w:t>
      </w:r>
      <w:r w:rsidR="00EC3A2B" w:rsidRPr="00AB55F1">
        <w:t xml:space="preserve">home-based workers (that is, </w:t>
      </w:r>
      <w:r w:rsidR="005048C0" w:rsidRPr="00AB55F1">
        <w:t xml:space="preserve">for workers for whom </w:t>
      </w:r>
      <w:r w:rsidR="00EC3A2B" w:rsidRPr="00AB55F1">
        <w:t xml:space="preserve">home is the only place of work), home-based teleworkers (defined as individuals who have a usual place of work outside home and do not work from home for more than three days a week), </w:t>
      </w:r>
      <w:r w:rsidR="00DA7E56" w:rsidRPr="00AB55F1">
        <w:t>regular fixed non-home location workers (who work at a fixed non-home workplace every day of the week) and other types of workers. The use of weekly nonwork travel measure</w:t>
      </w:r>
      <w:r w:rsidR="005222FC" w:rsidRPr="00AB55F1">
        <w:t>s</w:t>
      </w:r>
      <w:r w:rsidR="00DA7E56" w:rsidRPr="00AB55F1">
        <w:t xml:space="preserve"> accommodates for variations in nonwork travel across different days of the week. </w:t>
      </w:r>
      <w:r w:rsidR="005222FC" w:rsidRPr="00AB55F1">
        <w:t>The travel measures included individual-level nonwork trips and nonwork kilometers (the latter, w</w:t>
      </w:r>
      <w:r w:rsidR="00DA7E56" w:rsidRPr="00AB55F1">
        <w:t>hile not explicitly stated</w:t>
      </w:r>
      <w:r w:rsidR="005222FC" w:rsidRPr="00AB55F1">
        <w:t xml:space="preserve">, appears to be </w:t>
      </w:r>
      <w:r w:rsidR="005048C0" w:rsidRPr="00AB55F1">
        <w:t>PKT and not VKT</w:t>
      </w:r>
      <w:r w:rsidR="005222FC" w:rsidRPr="00AB55F1">
        <w:t xml:space="preserve">). The data used was drawn from the United Kingdom </w:t>
      </w:r>
      <w:r w:rsidR="008B354B" w:rsidRPr="00AB55F1">
        <w:t xml:space="preserve">(UK) </w:t>
      </w:r>
      <w:r w:rsidR="005222FC" w:rsidRPr="00AB55F1">
        <w:t>National Travel Survey</w:t>
      </w:r>
      <w:r w:rsidR="008B354B" w:rsidRPr="00AB55F1">
        <w:t xml:space="preserve"> (NTS)</w:t>
      </w:r>
      <w:r w:rsidR="005222FC" w:rsidRPr="00AB55F1">
        <w:t xml:space="preserve">, spanning the years from 2002 to 2017. </w:t>
      </w:r>
      <w:r w:rsidR="00DA7E56" w:rsidRPr="00AB55F1">
        <w:t xml:space="preserve"> </w:t>
      </w:r>
      <w:r w:rsidR="00304E49" w:rsidRPr="00AB55F1">
        <w:t xml:space="preserve">Cerqueira  et al.’s </w:t>
      </w:r>
      <w:r w:rsidR="00DA7E56" w:rsidRPr="00AB55F1">
        <w:t>results suggest that</w:t>
      </w:r>
      <w:r w:rsidR="005222FC" w:rsidRPr="00AB55F1">
        <w:t>, on average and relative to regular fixed non-home location workers,</w:t>
      </w:r>
      <w:r w:rsidR="00DA7E56" w:rsidRPr="00AB55F1">
        <w:t xml:space="preserve"> </w:t>
      </w:r>
      <w:r w:rsidR="005222FC" w:rsidRPr="00AB55F1">
        <w:t xml:space="preserve">teleworkers </w:t>
      </w:r>
      <w:r w:rsidR="00DA7E56" w:rsidRPr="00AB55F1">
        <w:t xml:space="preserve">make </w:t>
      </w:r>
      <w:r w:rsidR="005222FC" w:rsidRPr="00AB55F1">
        <w:t xml:space="preserve">0.74 more nonwork trips and travel 1.14 kilometers more during the week. </w:t>
      </w:r>
    </w:p>
    <w:p w14:paraId="290EB7A9" w14:textId="6BD93F78" w:rsidR="00BB16E0" w:rsidRPr="00AB55F1" w:rsidRDefault="00371782" w:rsidP="00AB55F1">
      <w:pPr>
        <w:spacing w:after="0"/>
        <w:ind w:firstLine="720"/>
      </w:pPr>
      <w:r w:rsidRPr="00AB55F1">
        <w:t>Caldarola and Sorrell (2022)</w:t>
      </w:r>
      <w:r w:rsidR="008B354B" w:rsidRPr="00AB55F1">
        <w:t xml:space="preserve">, also using the UK NTS </w:t>
      </w:r>
      <w:r w:rsidR="00830D3B" w:rsidRPr="00AB55F1">
        <w:t xml:space="preserve">but </w:t>
      </w:r>
      <w:r w:rsidR="008B354B" w:rsidRPr="00AB55F1">
        <w:t>spanning the years from 2005 to 2019,</w:t>
      </w:r>
      <w:r w:rsidRPr="00AB55F1">
        <w:t xml:space="preserve"> </w:t>
      </w:r>
      <w:r w:rsidR="008B354B" w:rsidRPr="00AB55F1">
        <w:t xml:space="preserve">estimated </w:t>
      </w:r>
      <w:r w:rsidRPr="00AB55F1">
        <w:t xml:space="preserve">a </w:t>
      </w:r>
      <w:r w:rsidR="00BE21C7" w:rsidRPr="00AB55F1">
        <w:t xml:space="preserve">negative </w:t>
      </w:r>
      <w:r w:rsidR="00364FE9" w:rsidRPr="00AB55F1">
        <w:t xml:space="preserve">binomial count </w:t>
      </w:r>
      <w:r w:rsidRPr="00AB55F1">
        <w:t xml:space="preserve">model to analyze the </w:t>
      </w:r>
      <w:r w:rsidR="00364FE9" w:rsidRPr="00AB55F1">
        <w:t xml:space="preserve">number of nonwork trips, and a </w:t>
      </w:r>
      <w:r w:rsidR="00364FE9" w:rsidRPr="00AB55F1">
        <w:lastRenderedPageBreak/>
        <w:t xml:space="preserve">regression model for </w:t>
      </w:r>
      <w:r w:rsidRPr="00AB55F1">
        <w:t xml:space="preserve">total (log) distance of weekly </w:t>
      </w:r>
      <w:r w:rsidR="00424164" w:rsidRPr="00AB55F1">
        <w:t xml:space="preserve">nonwork </w:t>
      </w:r>
      <w:r w:rsidRPr="00AB55F1">
        <w:t>trip</w:t>
      </w:r>
      <w:r w:rsidR="00424164" w:rsidRPr="00AB55F1">
        <w:t>s</w:t>
      </w:r>
      <w:r w:rsidRPr="00AB55F1">
        <w:t xml:space="preserve">. </w:t>
      </w:r>
      <w:r w:rsidR="00364FE9" w:rsidRPr="00AB55F1">
        <w:t xml:space="preserve">The study examined both the nonwork activity-travel of the individual as well as the overall nonwork travel of the entire household of the individual, as a function of telework adoption and intensity. </w:t>
      </w:r>
      <w:r w:rsidRPr="00AB55F1">
        <w:t>Their findings revealed that individuals classified as both medium- and high-frequency teleworkers</w:t>
      </w:r>
      <w:r w:rsidR="008B354B" w:rsidRPr="00AB55F1">
        <w:t xml:space="preserve"> make </w:t>
      </w:r>
      <w:r w:rsidRPr="00AB55F1">
        <w:t>a</w:t>
      </w:r>
      <w:r w:rsidR="00BE21C7" w:rsidRPr="00AB55F1">
        <w:t>bout 7.4%-</w:t>
      </w:r>
      <w:r w:rsidRPr="00AB55F1">
        <w:t xml:space="preserve">7.8% more </w:t>
      </w:r>
      <w:r w:rsidR="00424164" w:rsidRPr="00AB55F1">
        <w:t xml:space="preserve">person </w:t>
      </w:r>
      <w:r w:rsidRPr="00AB55F1">
        <w:t>nonwork</w:t>
      </w:r>
      <w:r w:rsidR="00BE21C7" w:rsidRPr="00AB55F1">
        <w:t xml:space="preserve"> </w:t>
      </w:r>
      <w:r w:rsidRPr="00AB55F1">
        <w:t>trips per week compared to non-teleworkers</w:t>
      </w:r>
      <w:r w:rsidR="00BB16E0" w:rsidRPr="00AB55F1">
        <w:t>, with the higher percentage being associated with medium-frequency teleworkers</w:t>
      </w:r>
      <w:r w:rsidR="005B7DC4" w:rsidRPr="00AB55F1">
        <w:t xml:space="preserve"> (at a household-level, compared with households with no teleworker, households with a medium-frequency teleworker make about 7.4% more nonwork trips, while households with high-frequency teleworkers make about 1</w:t>
      </w:r>
      <w:r w:rsidR="00304E49" w:rsidRPr="00AB55F1">
        <w:t>.0</w:t>
      </w:r>
      <w:r w:rsidR="005B7DC4" w:rsidRPr="00AB55F1">
        <w:t>% more nonwork trips)</w:t>
      </w:r>
      <w:r w:rsidRPr="00AB55F1">
        <w:t xml:space="preserve">. </w:t>
      </w:r>
      <w:r w:rsidR="00364FE9" w:rsidRPr="00AB55F1">
        <w:t>Also</w:t>
      </w:r>
      <w:r w:rsidRPr="00AB55F1">
        <w:t xml:space="preserve">, </w:t>
      </w:r>
      <w:r w:rsidR="00BE21C7" w:rsidRPr="00AB55F1">
        <w:t xml:space="preserve">compared once again to non-teleworkers, </w:t>
      </w:r>
      <w:r w:rsidRPr="00AB55F1">
        <w:t xml:space="preserve">medium-frequency teleworkers </w:t>
      </w:r>
      <w:r w:rsidR="00BE21C7" w:rsidRPr="00AB55F1">
        <w:t xml:space="preserve">travel </w:t>
      </w:r>
      <w:r w:rsidRPr="00AB55F1">
        <w:t xml:space="preserve">12.9% more </w:t>
      </w:r>
      <w:r w:rsidR="00BE21C7" w:rsidRPr="00AB55F1">
        <w:t xml:space="preserve">person-kilometers </w:t>
      </w:r>
      <w:r w:rsidRPr="00AB55F1">
        <w:t>each week</w:t>
      </w:r>
      <w:r w:rsidR="00BE21C7" w:rsidRPr="00AB55F1">
        <w:t xml:space="preserve"> for</w:t>
      </w:r>
      <w:r w:rsidRPr="00AB55F1">
        <w:t xml:space="preserve"> </w:t>
      </w:r>
      <w:r w:rsidR="009D37F0" w:rsidRPr="00AB55F1">
        <w:t>nonwork</w:t>
      </w:r>
      <w:r w:rsidR="00BE21C7" w:rsidRPr="00AB55F1">
        <w:t xml:space="preserve"> purposes</w:t>
      </w:r>
      <w:r w:rsidRPr="00AB55F1">
        <w:t xml:space="preserve">, </w:t>
      </w:r>
      <w:r w:rsidR="00BE21C7" w:rsidRPr="00AB55F1">
        <w:t>while high-frequency teleworkers travel only about 2.6% more person-kilometers (</w:t>
      </w:r>
      <w:r w:rsidR="005B7DC4" w:rsidRPr="00AB55F1">
        <w:t xml:space="preserve">the corresponding household-level percentages are 13.6% and -4.4%). </w:t>
      </w:r>
      <w:r w:rsidR="00BB16E0" w:rsidRPr="00AB55F1">
        <w:t xml:space="preserve">Overall, there appears to be an inverted U-shaped effect of teleworking intensity, with medium-frequency teleworkers making the most </w:t>
      </w:r>
      <w:r w:rsidR="00CB21C3" w:rsidRPr="00AB55F1">
        <w:t xml:space="preserve">nonwork </w:t>
      </w:r>
      <w:r w:rsidR="00BB16E0" w:rsidRPr="00AB55F1">
        <w:t xml:space="preserve">trips and traveling longer for nonwork relative to those who </w:t>
      </w:r>
      <w:r w:rsidR="00424164" w:rsidRPr="00AB55F1">
        <w:t xml:space="preserve">never </w:t>
      </w:r>
      <w:r w:rsidR="00BB16E0" w:rsidRPr="00AB55F1">
        <w:t xml:space="preserve">telework and those with a high telework frequency. </w:t>
      </w:r>
    </w:p>
    <w:p w14:paraId="2A59B815" w14:textId="3078E224" w:rsidR="00830D3B" w:rsidRPr="00AB55F1" w:rsidRDefault="00371782" w:rsidP="00AB55F1">
      <w:pPr>
        <w:autoSpaceDE w:val="0"/>
        <w:autoSpaceDN w:val="0"/>
        <w:adjustRightInd w:val="0"/>
        <w:spacing w:after="0"/>
        <w:ind w:firstLine="720"/>
      </w:pPr>
      <w:r w:rsidRPr="00AB55F1">
        <w:t xml:space="preserve">Obeid et al. (2022) </w:t>
      </w:r>
      <w:r w:rsidR="00424164" w:rsidRPr="00AB55F1">
        <w:t>employed</w:t>
      </w:r>
      <w:r w:rsidRPr="00AB55F1">
        <w:t xml:space="preserve"> </w:t>
      </w:r>
      <w:r w:rsidR="000E54D2" w:rsidRPr="00AB55F1">
        <w:t xml:space="preserve">a geographically representative sample from the </w:t>
      </w:r>
      <w:r w:rsidR="00830D3B" w:rsidRPr="00AB55F1">
        <w:t>United States</w:t>
      </w:r>
      <w:r w:rsidR="000E54D2" w:rsidRPr="00AB55F1">
        <w:t xml:space="preserve"> of smartphone users to recruit individuals</w:t>
      </w:r>
      <w:r w:rsidR="00424164" w:rsidRPr="00AB55F1">
        <w:t xml:space="preserve"> </w:t>
      </w:r>
      <w:r w:rsidR="000E54D2" w:rsidRPr="00AB55F1">
        <w:t xml:space="preserve">into a customized survey panel of five waves. </w:t>
      </w:r>
      <w:r w:rsidR="00830D3B" w:rsidRPr="00AB55F1">
        <w:t>Survey d</w:t>
      </w:r>
      <w:r w:rsidR="000E54D2" w:rsidRPr="00AB55F1">
        <w:t xml:space="preserve">ata collection took place between August 2020 and July 2021, with about 1000 participants in each wave. </w:t>
      </w:r>
      <w:r w:rsidR="00830D3B" w:rsidRPr="00AB55F1">
        <w:t>Using information from both the survey as well as the corresponding passively collected point-of-interest smartphone data, t</w:t>
      </w:r>
      <w:r w:rsidRPr="00AB55F1">
        <w:t>hey</w:t>
      </w:r>
      <w:r w:rsidR="00830D3B" w:rsidRPr="00AB55F1">
        <w:t xml:space="preserve"> estimate</w:t>
      </w:r>
      <w:r w:rsidRPr="00AB55F1">
        <w:t xml:space="preserve"> a </w:t>
      </w:r>
      <w:r w:rsidR="000E54D2" w:rsidRPr="00AB55F1">
        <w:t>panel</w:t>
      </w:r>
      <w:r w:rsidR="00A35F23" w:rsidRPr="00AB55F1">
        <w:t xml:space="preserve"> fixed-effects </w:t>
      </w:r>
      <w:r w:rsidRPr="00AB55F1">
        <w:t xml:space="preserve">regression model </w:t>
      </w:r>
      <w:r w:rsidR="00A35F23" w:rsidRPr="00AB55F1">
        <w:t xml:space="preserve">(to remove any confounding effects of unobserved individual-specific factors over time) </w:t>
      </w:r>
      <w:r w:rsidR="000E54D2" w:rsidRPr="00AB55F1">
        <w:t xml:space="preserve">for </w:t>
      </w:r>
      <w:r w:rsidRPr="00AB55F1">
        <w:t xml:space="preserve">the number of nonwork trips </w:t>
      </w:r>
      <w:r w:rsidR="000E54D2" w:rsidRPr="00AB55F1">
        <w:t>and nonwork travel distance</w:t>
      </w:r>
      <w:r w:rsidR="004D78B0" w:rsidRPr="00AB55F1">
        <w:t xml:space="preserve"> (across all modes of travel; so the dimensions correspond to personal trips regardless of mode and to personal miles of travel)</w:t>
      </w:r>
      <w:r w:rsidR="00424164" w:rsidRPr="00AB55F1">
        <w:t xml:space="preserve">. They </w:t>
      </w:r>
      <w:r w:rsidR="000E54D2" w:rsidRPr="00AB55F1">
        <w:t>us</w:t>
      </w:r>
      <w:r w:rsidR="00424164" w:rsidRPr="00AB55F1">
        <w:t>ed</w:t>
      </w:r>
      <w:r w:rsidR="000E54D2" w:rsidRPr="00AB55F1">
        <w:t xml:space="preserve"> both a day-basis (to examine intra-individual variations within teleworking and non-teleworking days) as well as a week-basis </w:t>
      </w:r>
      <w:r w:rsidR="00424164" w:rsidRPr="00AB55F1">
        <w:t xml:space="preserve">in </w:t>
      </w:r>
      <w:r w:rsidR="000E54D2" w:rsidRPr="00AB55F1">
        <w:t>the</w:t>
      </w:r>
      <w:r w:rsidR="00424164" w:rsidRPr="00AB55F1">
        <w:t>ir</w:t>
      </w:r>
      <w:r w:rsidR="000E54D2" w:rsidRPr="00AB55F1">
        <w:t xml:space="preserve"> analysis. </w:t>
      </w:r>
      <w:r w:rsidR="005C7AE3" w:rsidRPr="00AB55F1">
        <w:t>T</w:t>
      </w:r>
      <w:r w:rsidRPr="00AB55F1">
        <w:t xml:space="preserve">he number of days teleworked </w:t>
      </w:r>
      <w:r w:rsidR="005C7AE3" w:rsidRPr="00AB55F1">
        <w:t>in a</w:t>
      </w:r>
      <w:r w:rsidRPr="00AB55F1">
        <w:t xml:space="preserve"> week </w:t>
      </w:r>
      <w:r w:rsidR="00424164" w:rsidRPr="00AB55F1">
        <w:t>wa</w:t>
      </w:r>
      <w:r w:rsidR="00BB16E0" w:rsidRPr="00AB55F1">
        <w:t>s</w:t>
      </w:r>
      <w:r w:rsidRPr="00AB55F1">
        <w:t xml:space="preserve"> used as </w:t>
      </w:r>
      <w:r w:rsidR="005C7AE3" w:rsidRPr="00AB55F1">
        <w:t xml:space="preserve">an </w:t>
      </w:r>
      <w:r w:rsidRPr="00AB55F1">
        <w:t>exogenous variable</w:t>
      </w:r>
      <w:r w:rsidR="00336996" w:rsidRPr="00AB55F1">
        <w:t>, along with a dummy variable for whether the individual teleworked or not on the day of activity-travel diary data collection</w:t>
      </w:r>
      <w:r w:rsidRPr="00AB55F1">
        <w:t>. Their result</w:t>
      </w:r>
      <w:r w:rsidR="001E5292" w:rsidRPr="00AB55F1">
        <w:t xml:space="preserve">s estimated </w:t>
      </w:r>
      <w:r w:rsidRPr="00AB55F1">
        <w:t>that</w:t>
      </w:r>
      <w:r w:rsidR="001E5292" w:rsidRPr="00AB55F1">
        <w:t>, in late 2021 (after the widespread availability of vaccinations),</w:t>
      </w:r>
      <w:r w:rsidRPr="00AB55F1">
        <w:t xml:space="preserve"> </w:t>
      </w:r>
      <w:r w:rsidR="00A35F23" w:rsidRPr="00AB55F1">
        <w:t>individuals</w:t>
      </w:r>
      <w:r w:rsidR="001E5292" w:rsidRPr="00AB55F1">
        <w:t>, on average,</w:t>
      </w:r>
      <w:r w:rsidR="00A35F23" w:rsidRPr="00AB55F1">
        <w:t xml:space="preserve"> made about one additional nonwork trip </w:t>
      </w:r>
      <w:r w:rsidR="001E5292" w:rsidRPr="00AB55F1">
        <w:t xml:space="preserve">on days they teleworked relative to days that they did not and that the distance of this additional nonwork trip was about the same as the commute distance. At a weekly level, they estimated that </w:t>
      </w:r>
      <w:r w:rsidRPr="00AB55F1">
        <w:t>each additional day of</w:t>
      </w:r>
      <w:r w:rsidR="005C7AE3" w:rsidRPr="00AB55F1">
        <w:t xml:space="preserve"> </w:t>
      </w:r>
      <w:r w:rsidRPr="00AB55F1">
        <w:t xml:space="preserve">telecommuting </w:t>
      </w:r>
      <w:r w:rsidR="001E5292" w:rsidRPr="00AB55F1">
        <w:t xml:space="preserve">results, on average, in </w:t>
      </w:r>
      <w:r w:rsidRPr="00AB55F1">
        <w:t>an increase of 1.0</w:t>
      </w:r>
      <w:r w:rsidR="001E5292" w:rsidRPr="00AB55F1">
        <w:t>7</w:t>
      </w:r>
      <w:r w:rsidRPr="00AB55F1">
        <w:t xml:space="preserve"> </w:t>
      </w:r>
      <w:r w:rsidR="00A35F23" w:rsidRPr="00AB55F1">
        <w:t xml:space="preserve">nonwork </w:t>
      </w:r>
      <w:r w:rsidRPr="00AB55F1">
        <w:t>trips</w:t>
      </w:r>
      <w:r w:rsidR="00954A65" w:rsidRPr="00AB55F1">
        <w:t xml:space="preserve"> at the individual-level</w:t>
      </w:r>
      <w:r w:rsidR="00830D3B" w:rsidRPr="00AB55F1">
        <w:t xml:space="preserve">. </w:t>
      </w:r>
    </w:p>
    <w:p w14:paraId="7D907729" w14:textId="229DCA23" w:rsidR="00AB55F1" w:rsidRPr="00AB55F1" w:rsidRDefault="00173B46" w:rsidP="00AB55F1">
      <w:pPr>
        <w:autoSpaceDE w:val="0"/>
        <w:autoSpaceDN w:val="0"/>
        <w:adjustRightInd w:val="0"/>
        <w:spacing w:after="0"/>
        <w:ind w:firstLine="720"/>
      </w:pPr>
      <w:r w:rsidRPr="00AB55F1">
        <w:t>W</w:t>
      </w:r>
      <w:r w:rsidR="00293434" w:rsidRPr="00AB55F1">
        <w:t>ö</w:t>
      </w:r>
      <w:r w:rsidRPr="00AB55F1">
        <w:t>hner (2022), as in Kim et al. (2015)</w:t>
      </w:r>
      <w:r w:rsidR="00424164" w:rsidRPr="00AB55F1">
        <w:t>,</w:t>
      </w:r>
      <w:r w:rsidRPr="00AB55F1">
        <w:t xml:space="preserve"> also examine</w:t>
      </w:r>
      <w:r w:rsidR="00424164" w:rsidRPr="00AB55F1">
        <w:t>d</w:t>
      </w:r>
      <w:r w:rsidRPr="00AB55F1">
        <w:t xml:space="preserve"> the effect of teleworking on the aggregate nonwork travel dimensions of PKT and VKT</w:t>
      </w:r>
      <w:r w:rsidR="004D78B0" w:rsidRPr="00AB55F1">
        <w:t>. They</w:t>
      </w:r>
      <w:r w:rsidRPr="00AB55F1">
        <w:t xml:space="preserve"> us</w:t>
      </w:r>
      <w:r w:rsidR="004D78B0" w:rsidRPr="00AB55F1">
        <w:t>ed</w:t>
      </w:r>
      <w:r w:rsidRPr="00AB55F1">
        <w:t xml:space="preserve"> the 2015 Swiss Mobility and Transport Microcensus (MTMC), which </w:t>
      </w:r>
      <w:r w:rsidR="004D78B0" w:rsidRPr="00AB55F1">
        <w:t xml:space="preserve">is </w:t>
      </w:r>
      <w:r w:rsidRPr="00AB55F1">
        <w:t>a survey o</w:t>
      </w:r>
      <w:r w:rsidR="004D78B0" w:rsidRPr="00AB55F1">
        <w:t xml:space="preserve">f </w:t>
      </w:r>
      <w:r w:rsidRPr="00AB55F1">
        <w:t>mobility behavior/attitudes of the Swiss population. A unique feature of the data is that the detailed routes used by individua</w:t>
      </w:r>
      <w:r w:rsidR="00C43FBE" w:rsidRPr="00AB55F1">
        <w:t>l</w:t>
      </w:r>
      <w:r w:rsidRPr="00AB55F1">
        <w:t xml:space="preserve">s on a specific target day is available, which makes for more accurate network distance/time measures relative to the Euclidean distances used in studies such as Kim et al. (2015). </w:t>
      </w:r>
      <w:r w:rsidR="00336996" w:rsidRPr="00AB55F1">
        <w:t xml:space="preserve">Individuals are classified into full teleworkers (always work from home), hybrid workers (a mix of working from home and from the office over the course of the workweek), and </w:t>
      </w:r>
      <w:r w:rsidR="00C43FBE" w:rsidRPr="00AB55F1">
        <w:t>on-site workers (working only from the in-person out</w:t>
      </w:r>
      <w:r w:rsidR="001B4481" w:rsidRPr="00AB55F1">
        <w:t>side</w:t>
      </w:r>
      <w:r w:rsidR="00C43FBE" w:rsidRPr="00AB55F1">
        <w:t>-of-home office)</w:t>
      </w:r>
      <w:r w:rsidR="00336996" w:rsidRPr="00AB55F1">
        <w:t>. Information on whether the individual actually teleworked on the target day is not available</w:t>
      </w:r>
      <w:r w:rsidR="00C43FBE" w:rsidRPr="00AB55F1">
        <w:t xml:space="preserve">. </w:t>
      </w:r>
      <w:r w:rsidR="002D09D2" w:rsidRPr="00AB55F1">
        <w:t xml:space="preserve">Log-linear models of PKT and VKT were </w:t>
      </w:r>
      <w:r w:rsidR="00F944E4" w:rsidRPr="00AB55F1">
        <w:t>utilized</w:t>
      </w:r>
      <w:r w:rsidR="002D09D2" w:rsidRPr="00AB55F1">
        <w:t xml:space="preserve"> in the modeling. </w:t>
      </w:r>
      <w:r w:rsidR="00C43FBE" w:rsidRPr="00AB55F1">
        <w:t>They found that hybrid workers have a PKT that is 21.5% higher and a VKT that is 16.3% higher than on-site workers. Interestingly, and reinforcing the results from Cald</w:t>
      </w:r>
      <w:r w:rsidR="00B8253A">
        <w:t>a</w:t>
      </w:r>
      <w:r w:rsidR="00C43FBE" w:rsidRPr="00AB55F1">
        <w:t>r</w:t>
      </w:r>
      <w:r w:rsidR="00B8253A">
        <w:t>ol</w:t>
      </w:r>
      <w:r w:rsidR="00C43FBE" w:rsidRPr="00AB55F1">
        <w:t>a and Sorrell (2022), full teleworkers did not have any significant differences in PKT and VKT for nonwork travel relative to on-site workers.</w:t>
      </w:r>
    </w:p>
    <w:p w14:paraId="0C2EADE5" w14:textId="0787BDFE" w:rsidR="00173B46" w:rsidRPr="00AB55F1" w:rsidRDefault="00C43FBE" w:rsidP="00AB55F1">
      <w:pPr>
        <w:autoSpaceDE w:val="0"/>
        <w:autoSpaceDN w:val="0"/>
        <w:adjustRightInd w:val="0"/>
        <w:spacing w:after="0"/>
        <w:ind w:firstLine="720"/>
      </w:pPr>
      <w:r w:rsidRPr="00AB55F1">
        <w:lastRenderedPageBreak/>
        <w:t xml:space="preserve"> </w:t>
      </w:r>
    </w:p>
    <w:p w14:paraId="3C3592A2" w14:textId="77777777" w:rsidR="006E4EB6" w:rsidRPr="00AB55F1" w:rsidRDefault="006E4EB6" w:rsidP="00AB55F1">
      <w:pPr>
        <w:autoSpaceDE w:val="0"/>
        <w:autoSpaceDN w:val="0"/>
        <w:adjustRightInd w:val="0"/>
        <w:spacing w:after="0"/>
        <w:rPr>
          <w:u w:val="single"/>
        </w:rPr>
      </w:pPr>
      <w:r w:rsidRPr="00AB55F1">
        <w:rPr>
          <w:u w:val="single"/>
        </w:rPr>
        <w:t>TN Studies with Disaggregation of Nonwork Purposes</w:t>
      </w:r>
    </w:p>
    <w:p w14:paraId="2773866A" w14:textId="30BFE6DA" w:rsidR="006E4EB6" w:rsidRPr="00AB55F1" w:rsidRDefault="005B6AB4" w:rsidP="00AB55F1">
      <w:pPr>
        <w:autoSpaceDE w:val="0"/>
        <w:autoSpaceDN w:val="0"/>
        <w:adjustRightInd w:val="0"/>
        <w:spacing w:after="0"/>
      </w:pPr>
      <w:r w:rsidRPr="00AB55F1">
        <w:t xml:space="preserve">Some other studies within the TN category of studies </w:t>
      </w:r>
      <w:r w:rsidR="004D78B0" w:rsidRPr="00AB55F1">
        <w:t xml:space="preserve">have </w:t>
      </w:r>
      <w:r w:rsidRPr="00AB55F1">
        <w:t>examine</w:t>
      </w:r>
      <w:r w:rsidR="004D78B0" w:rsidRPr="00AB55F1">
        <w:t>d</w:t>
      </w:r>
      <w:r w:rsidRPr="00AB55F1">
        <w:t xml:space="preserve"> the effect of teleworking on different types of </w:t>
      </w:r>
      <w:r w:rsidR="00371782" w:rsidRPr="00AB55F1">
        <w:t>nonwork trav</w:t>
      </w:r>
      <w:r w:rsidRPr="00AB55F1">
        <w:t xml:space="preserve">el, rather than collapsing all nonwork </w:t>
      </w:r>
      <w:r w:rsidR="00C21AE3" w:rsidRPr="00AB55F1">
        <w:t>activity-</w:t>
      </w:r>
      <w:r w:rsidRPr="00AB55F1">
        <w:t>travel into a single category</w:t>
      </w:r>
      <w:bookmarkStart w:id="5" w:name="_Hlk157784737"/>
      <w:r w:rsidRPr="00AB55F1">
        <w:t xml:space="preserve">. </w:t>
      </w:r>
    </w:p>
    <w:p w14:paraId="51138E4D" w14:textId="12FF681B" w:rsidR="006E4EB6" w:rsidRPr="00AB55F1" w:rsidRDefault="00371782" w:rsidP="00AB55F1">
      <w:pPr>
        <w:autoSpaceDE w:val="0"/>
        <w:autoSpaceDN w:val="0"/>
        <w:adjustRightInd w:val="0"/>
        <w:spacing w:after="0"/>
        <w:ind w:firstLine="720"/>
      </w:pPr>
      <w:r w:rsidRPr="00AB55F1">
        <w:t>Stiles and Smart (2021)</w:t>
      </w:r>
      <w:r w:rsidR="00587DB2" w:rsidRPr="00AB55F1">
        <w:t>, using a repeated cross-sectional sample of U.S. knowledge workers from the American Time Use Survey</w:t>
      </w:r>
      <w:r w:rsidRPr="00AB55F1">
        <w:t xml:space="preserve"> </w:t>
      </w:r>
      <w:r w:rsidR="00FB2930" w:rsidRPr="00AB55F1">
        <w:t xml:space="preserve">(ATUS) </w:t>
      </w:r>
      <w:r w:rsidR="00587DB2" w:rsidRPr="00AB55F1">
        <w:t xml:space="preserve">between 2003-2017, </w:t>
      </w:r>
      <w:r w:rsidRPr="00AB55F1">
        <w:t xml:space="preserve">found that teleworking </w:t>
      </w:r>
      <w:r w:rsidR="00954A65" w:rsidRPr="00AB55F1">
        <w:t xml:space="preserve">by an individual </w:t>
      </w:r>
      <w:r w:rsidR="00153A6A" w:rsidRPr="00AB55F1">
        <w:t xml:space="preserve">on a given day from home (relative to working from the office) decreases nonwork travel time for both maintenance activity (by 35%) and leisure activity (by 12%), while any combination of work locations that includes in-person office on the work day increases maintenance and leisure travel time. </w:t>
      </w:r>
      <w:r w:rsidRPr="00AB55F1">
        <w:t xml:space="preserve">Their disaggregation of nonwork travel aligns closely with our study's focus. </w:t>
      </w:r>
      <w:r w:rsidR="00FB2930" w:rsidRPr="00AB55F1">
        <w:t xml:space="preserve">The emphasis on times rather than distances or trips is a consequence of the use of the ATUS data for analysis. </w:t>
      </w:r>
    </w:p>
    <w:p w14:paraId="07FE15A4" w14:textId="44D22806" w:rsidR="00BA771E" w:rsidRPr="00AB55F1" w:rsidRDefault="00371782" w:rsidP="00AB55F1">
      <w:pPr>
        <w:autoSpaceDE w:val="0"/>
        <w:autoSpaceDN w:val="0"/>
        <w:adjustRightInd w:val="0"/>
        <w:spacing w:after="0"/>
        <w:ind w:firstLine="720"/>
        <w:rPr>
          <w:rFonts w:eastAsia="STIX-Regular"/>
        </w:rPr>
      </w:pPr>
      <w:r w:rsidRPr="00AB55F1">
        <w:t>Shah et al. (202</w:t>
      </w:r>
      <w:r w:rsidR="00D34084" w:rsidRPr="00AB55F1">
        <w:t>4</w:t>
      </w:r>
      <w:r w:rsidRPr="00AB55F1">
        <w:t xml:space="preserve">) </w:t>
      </w:r>
      <w:r w:rsidR="006E4EB6" w:rsidRPr="00AB55F1">
        <w:t xml:space="preserve">also </w:t>
      </w:r>
      <w:r w:rsidR="00BA771E" w:rsidRPr="00AB55F1">
        <w:t>undert</w:t>
      </w:r>
      <w:r w:rsidR="001C7841" w:rsidRPr="00AB55F1">
        <w:t>ook</w:t>
      </w:r>
      <w:r w:rsidR="00BA771E" w:rsidRPr="00AB55F1">
        <w:t xml:space="preserve"> their analysis at </w:t>
      </w:r>
      <w:r w:rsidR="006E4EB6" w:rsidRPr="00AB55F1">
        <w:t>an individual level</w:t>
      </w:r>
      <w:r w:rsidR="001C7841" w:rsidRPr="00AB55F1">
        <w:t xml:space="preserve">, but </w:t>
      </w:r>
      <w:r w:rsidR="006E4EB6" w:rsidRPr="00AB55F1">
        <w:t>focus</w:t>
      </w:r>
      <w:r w:rsidR="001C7841" w:rsidRPr="00AB55F1">
        <w:t>ed</w:t>
      </w:r>
      <w:r w:rsidR="006E4EB6" w:rsidRPr="00AB55F1">
        <w:t xml:space="preserve"> on tours rather than trips. </w:t>
      </w:r>
      <w:r w:rsidR="00BA771E" w:rsidRPr="00AB55F1">
        <w:t xml:space="preserve"> </w:t>
      </w:r>
      <w:r w:rsidR="006E4EB6" w:rsidRPr="00AB55F1">
        <w:t xml:space="preserve">They </w:t>
      </w:r>
      <w:r w:rsidR="00BA771E" w:rsidRPr="00AB55F1">
        <w:t>classif</w:t>
      </w:r>
      <w:r w:rsidR="001C7841" w:rsidRPr="00AB55F1">
        <w:t>ied</w:t>
      </w:r>
      <w:r w:rsidR="006E4EB6" w:rsidRPr="00AB55F1">
        <w:t xml:space="preserve"> </w:t>
      </w:r>
      <w:r w:rsidR="00BA771E" w:rsidRPr="00AB55F1">
        <w:t xml:space="preserve">tours by the primary activity of the tour as </w:t>
      </w:r>
      <w:r w:rsidR="005D4542">
        <w:t>“</w:t>
      </w:r>
      <w:r w:rsidR="00BA771E" w:rsidRPr="00AB55F1">
        <w:t xml:space="preserve">mandatory” (for work, school, pick up/drop off), </w:t>
      </w:r>
      <w:r w:rsidR="005D4542">
        <w:t>“</w:t>
      </w:r>
      <w:r w:rsidR="00BA771E" w:rsidRPr="00AB55F1">
        <w:t>maintenance</w:t>
      </w:r>
      <w:r w:rsidR="005D4542">
        <w:t>”</w:t>
      </w:r>
      <w:r w:rsidR="00BA771E" w:rsidRPr="00AB55F1">
        <w:t xml:space="preserve"> (such as grocery shopping, personal business, appointments, errands), and discretionary (such as entertainment, social, recreational, religious activities, and mall shopping). </w:t>
      </w:r>
      <w:r w:rsidR="00954A65" w:rsidRPr="00AB55F1">
        <w:t xml:space="preserve">However, these </w:t>
      </w:r>
      <w:r w:rsidR="006E4EB6" w:rsidRPr="00AB55F1">
        <w:t xml:space="preserve">purpose-specific </w:t>
      </w:r>
      <w:r w:rsidR="00954A65" w:rsidRPr="00AB55F1">
        <w:t xml:space="preserve">tour level variables themselves were considered </w:t>
      </w:r>
      <w:r w:rsidR="005E0C8D" w:rsidRPr="00AB55F1">
        <w:t xml:space="preserve">as continuous </w:t>
      </w:r>
      <w:r w:rsidR="00954A65" w:rsidRPr="00AB55F1">
        <w:t>latent</w:t>
      </w:r>
      <w:r w:rsidR="005E0C8D" w:rsidRPr="00AB55F1">
        <w:t xml:space="preserve"> variables</w:t>
      </w:r>
      <w:r w:rsidR="00954A65" w:rsidRPr="00AB55F1">
        <w:t xml:space="preserve">, and represented as being manifested through indicators of </w:t>
      </w:r>
      <w:r w:rsidR="00954A65" w:rsidRPr="00AB55F1">
        <w:rPr>
          <w:rFonts w:eastAsia="STIX-Regular"/>
        </w:rPr>
        <w:t xml:space="preserve">total number of trips in all tours of the </w:t>
      </w:r>
      <w:r w:rsidR="006E4EB6" w:rsidRPr="00AB55F1">
        <w:rPr>
          <w:rFonts w:eastAsia="STIX-Regular"/>
        </w:rPr>
        <w:t>specific purpose</w:t>
      </w:r>
      <w:r w:rsidR="00954A65" w:rsidRPr="00AB55F1">
        <w:rPr>
          <w:rFonts w:eastAsia="STIX-Regular"/>
        </w:rPr>
        <w:t>, total travel time</w:t>
      </w:r>
      <w:r w:rsidR="006E4EB6" w:rsidRPr="00AB55F1">
        <w:rPr>
          <w:rFonts w:eastAsia="STIX-Regular"/>
        </w:rPr>
        <w:t xml:space="preserve"> across all tours of the specific purpose</w:t>
      </w:r>
      <w:r w:rsidR="00954A65" w:rsidRPr="00AB55F1">
        <w:rPr>
          <w:rFonts w:eastAsia="STIX-Regular"/>
        </w:rPr>
        <w:t>, and percent</w:t>
      </w:r>
      <w:r w:rsidR="006E4EB6" w:rsidRPr="00AB55F1">
        <w:rPr>
          <w:rFonts w:eastAsia="STIX-Regular"/>
        </w:rPr>
        <w:t xml:space="preserve"> </w:t>
      </w:r>
      <w:r w:rsidR="00954A65" w:rsidRPr="00AB55F1">
        <w:rPr>
          <w:rFonts w:eastAsia="STIX-Regular"/>
        </w:rPr>
        <w:t>of chained VMT.</w:t>
      </w:r>
      <w:r w:rsidR="006E4EB6" w:rsidRPr="00AB55F1">
        <w:rPr>
          <w:rFonts w:eastAsia="STIX-Regular"/>
        </w:rPr>
        <w:t xml:space="preserve"> </w:t>
      </w:r>
      <w:r w:rsidR="00BA771E" w:rsidRPr="00AB55F1">
        <w:t xml:space="preserve">Using 2019 data from the Puget Sound region, they found </w:t>
      </w:r>
      <w:r w:rsidRPr="00AB55F1">
        <w:t xml:space="preserve">a negative direct effect of telework duration </w:t>
      </w:r>
      <w:r w:rsidR="00954A65" w:rsidRPr="00AB55F1">
        <w:t xml:space="preserve">(in weekly minutes) </w:t>
      </w:r>
      <w:r w:rsidRPr="00AB55F1">
        <w:t xml:space="preserve">on </w:t>
      </w:r>
      <w:r w:rsidR="006E4EB6" w:rsidRPr="00AB55F1">
        <w:t xml:space="preserve">(weekly) </w:t>
      </w:r>
      <w:r w:rsidRPr="00AB55F1">
        <w:t xml:space="preserve">maintenance tours and a positive direct effect on discretionary tours. Similar to the approach in the Stiles and Smart (2021) study and our own, Shah et al. categorized nonwork into </w:t>
      </w:r>
      <w:r w:rsidR="00055E09" w:rsidRPr="00AB55F1">
        <w:t xml:space="preserve">the </w:t>
      </w:r>
      <w:r w:rsidRPr="00AB55F1">
        <w:t>two distinct groups</w:t>
      </w:r>
      <w:r w:rsidR="00055E09" w:rsidRPr="00AB55F1">
        <w:t xml:space="preserve"> of maintenance and leisure</w:t>
      </w:r>
      <w:r w:rsidRPr="00AB55F1">
        <w:t xml:space="preserve">. </w:t>
      </w:r>
    </w:p>
    <w:p w14:paraId="186D0C77" w14:textId="747C7FEA" w:rsidR="00627D65" w:rsidRPr="00AB55F1" w:rsidRDefault="00371782" w:rsidP="00AB55F1">
      <w:pPr>
        <w:autoSpaceDE w:val="0"/>
        <w:autoSpaceDN w:val="0"/>
        <w:adjustRightInd w:val="0"/>
        <w:spacing w:after="0"/>
        <w:ind w:firstLine="720"/>
      </w:pPr>
      <w:r w:rsidRPr="00AB55F1">
        <w:t>Asgari et al. (2016) investigated</w:t>
      </w:r>
      <w:r w:rsidR="001728E2" w:rsidRPr="00AB55F1">
        <w:t>, at an individual level,</w:t>
      </w:r>
      <w:r w:rsidR="007E7FBF" w:rsidRPr="00AB55F1">
        <w:t xml:space="preserve"> </w:t>
      </w:r>
      <w:r w:rsidRPr="00AB55F1">
        <w:t xml:space="preserve">the impact of telework </w:t>
      </w:r>
      <w:r w:rsidR="007E7FBF" w:rsidRPr="00AB55F1">
        <w:t xml:space="preserve">hours in the day </w:t>
      </w:r>
      <w:r w:rsidRPr="00AB55F1">
        <w:t xml:space="preserve">on </w:t>
      </w:r>
      <w:r w:rsidR="001728E2" w:rsidRPr="00AB55F1">
        <w:t xml:space="preserve">activity </w:t>
      </w:r>
      <w:r w:rsidRPr="00AB55F1">
        <w:t xml:space="preserve">time allocation </w:t>
      </w:r>
      <w:r w:rsidR="00055E09" w:rsidRPr="00AB55F1">
        <w:t xml:space="preserve">on the </w:t>
      </w:r>
      <w:r w:rsidR="0037031C" w:rsidRPr="00AB55F1">
        <w:t>work</w:t>
      </w:r>
      <w:r w:rsidRPr="00AB55F1">
        <w:t>day</w:t>
      </w:r>
      <w:r w:rsidR="00627D65" w:rsidRPr="00AB55F1">
        <w:t xml:space="preserve">, </w:t>
      </w:r>
      <w:r w:rsidRPr="00AB55F1">
        <w:t xml:space="preserve">focusing on </w:t>
      </w:r>
      <w:r w:rsidR="00627D65" w:rsidRPr="00AB55F1">
        <w:t xml:space="preserve">durations of time spent on </w:t>
      </w:r>
      <w:r w:rsidRPr="00AB55F1">
        <w:t xml:space="preserve">nonmandatory activities such as shopping, maintenance, </w:t>
      </w:r>
      <w:r w:rsidR="001728E2" w:rsidRPr="00AB55F1">
        <w:t xml:space="preserve">and </w:t>
      </w:r>
      <w:r w:rsidRPr="00AB55F1">
        <w:t xml:space="preserve">discretionary </w:t>
      </w:r>
      <w:r w:rsidR="001728E2" w:rsidRPr="00AB55F1">
        <w:t>pursuits</w:t>
      </w:r>
      <w:r w:rsidRPr="00AB55F1">
        <w:t>.</w:t>
      </w:r>
      <w:r w:rsidR="001728E2" w:rsidRPr="00AB55F1">
        <w:t xml:space="preserve"> Using the 2010–2011 Regional Household Travel Survey (RHTS) from </w:t>
      </w:r>
      <w:r w:rsidRPr="00AB55F1">
        <w:t>New York, their findings revealed that in an 8-hour workday, full-day telecommuters extended their out</w:t>
      </w:r>
      <w:r w:rsidR="001B4481" w:rsidRPr="00AB55F1">
        <w:t>side</w:t>
      </w:r>
      <w:r w:rsidRPr="00AB55F1">
        <w:t>-of-home shopping duration by approximately 11.52 minutes compared to a full-time commuter. Similarly, the time spent in maintenance and discretionary activities increase</w:t>
      </w:r>
      <w:r w:rsidR="00627D65" w:rsidRPr="00AB55F1">
        <w:t>d</w:t>
      </w:r>
      <w:r w:rsidRPr="00AB55F1">
        <w:t xml:space="preserve"> by about 16 and 47 min, respectively.</w:t>
      </w:r>
    </w:p>
    <w:p w14:paraId="78D86098" w14:textId="6E89886F" w:rsidR="0031191E" w:rsidRPr="00AB55F1" w:rsidRDefault="00371782" w:rsidP="00AB55F1">
      <w:pPr>
        <w:autoSpaceDE w:val="0"/>
        <w:autoSpaceDN w:val="0"/>
        <w:adjustRightInd w:val="0"/>
        <w:spacing w:after="0"/>
      </w:pPr>
      <w:r w:rsidRPr="00AB55F1">
        <w:t xml:space="preserve">Along similar lines, Zhu (2012) employed </w:t>
      </w:r>
      <w:r w:rsidR="00746474" w:rsidRPr="00AB55F1">
        <w:t xml:space="preserve">a linear regression model </w:t>
      </w:r>
      <w:r w:rsidRPr="00AB55F1">
        <w:t xml:space="preserve">to analyze the </w:t>
      </w:r>
      <w:r w:rsidR="009A7844" w:rsidRPr="00AB55F1">
        <w:t xml:space="preserve">effect of teleworking on the </w:t>
      </w:r>
      <w:r w:rsidRPr="00AB55F1">
        <w:t xml:space="preserve">frequency of various nonwork trip </w:t>
      </w:r>
      <w:r w:rsidR="009A7844" w:rsidRPr="00AB55F1">
        <w:t>purposes</w:t>
      </w:r>
      <w:r w:rsidR="0031191E" w:rsidRPr="00AB55F1">
        <w:t xml:space="preserve"> on a weekday</w:t>
      </w:r>
      <w:r w:rsidRPr="00AB55F1">
        <w:t>.</w:t>
      </w:r>
      <w:r w:rsidR="0031191E" w:rsidRPr="00AB55F1">
        <w:t xml:space="preserve"> Nonwork trip purposes considered included a relatively disaggregate classification into shopping trips, family/personal business trips, school/church trips, medical/dental trips, visits to family/relatives, and other social/recreational outings. </w:t>
      </w:r>
      <w:r w:rsidR="001C7841" w:rsidRPr="00AB55F1">
        <w:t xml:space="preserve">The sample for analysis was drawn from the 2001 and 2009 U.S. National Household Travel Surveys. </w:t>
      </w:r>
      <w:r w:rsidR="009A7844" w:rsidRPr="00AB55F1">
        <w:t xml:space="preserve">Teleworking </w:t>
      </w:r>
      <w:r w:rsidR="0031191E" w:rsidRPr="00AB55F1">
        <w:t>wa</w:t>
      </w:r>
      <w:r w:rsidR="009A7844" w:rsidRPr="00AB55F1">
        <w:t xml:space="preserve">s defined as working from home at least once a week. </w:t>
      </w:r>
      <w:r w:rsidRPr="00AB55F1">
        <w:t xml:space="preserve">The </w:t>
      </w:r>
      <w:r w:rsidR="0031191E" w:rsidRPr="00AB55F1">
        <w:t>results</w:t>
      </w:r>
      <w:r w:rsidRPr="00AB55F1">
        <w:t xml:space="preserve"> revealed that</w:t>
      </w:r>
      <w:r w:rsidR="0031191E" w:rsidRPr="00AB55F1">
        <w:t xml:space="preserve"> </w:t>
      </w:r>
      <w:r w:rsidRPr="00AB55F1">
        <w:t>telework</w:t>
      </w:r>
      <w:r w:rsidR="0031191E" w:rsidRPr="00AB55F1">
        <w:t xml:space="preserve">ing </w:t>
      </w:r>
      <w:r w:rsidRPr="00AB55F1">
        <w:t xml:space="preserve">had a positive impact </w:t>
      </w:r>
      <w:r w:rsidR="001C7841" w:rsidRPr="00AB55F1">
        <w:t xml:space="preserve">on </w:t>
      </w:r>
      <w:r w:rsidR="0031191E" w:rsidRPr="00AB55F1">
        <w:t xml:space="preserve">all </w:t>
      </w:r>
      <w:r w:rsidRPr="00AB55F1">
        <w:t xml:space="preserve">nonwork trip </w:t>
      </w:r>
      <w:r w:rsidR="0031191E" w:rsidRPr="00AB55F1">
        <w:t xml:space="preserve">purposes </w:t>
      </w:r>
      <w:r w:rsidRPr="00AB55F1">
        <w:t>in terms of distance, duration, and frequency in the United States for both 2001 and 2009</w:t>
      </w:r>
      <w:r w:rsidR="001C7841" w:rsidRPr="00AB55F1">
        <w:t>, with statistically significant impacts for “shopping” trips, “other family/personal business” trips, and social-recreational trips</w:t>
      </w:r>
      <w:r w:rsidR="00746474" w:rsidRPr="00AB55F1">
        <w:t xml:space="preserve">. This study </w:t>
      </w:r>
      <w:r w:rsidR="00055E09" w:rsidRPr="00AB55F1">
        <w:t xml:space="preserve">was on the very few to </w:t>
      </w:r>
      <w:r w:rsidR="00746474" w:rsidRPr="00AB55F1">
        <w:t xml:space="preserve">recognize the potential endogeneity of teleworking, through the use of a two-stage </w:t>
      </w:r>
      <w:r w:rsidR="00664EE1" w:rsidRPr="00AB55F1">
        <w:t>instrumental variable approach</w:t>
      </w:r>
      <w:r w:rsidR="00746474" w:rsidRPr="00AB55F1">
        <w:t xml:space="preserve">. </w:t>
      </w:r>
      <w:r w:rsidR="005E0C8D" w:rsidRPr="00AB55F1">
        <w:t>Again, as with Obeid et al. (2020),</w:t>
      </w:r>
      <w:r w:rsidR="00746474" w:rsidRPr="00AB55F1">
        <w:t xml:space="preserve"> the use of a linear regression to model the low range of daily discrete counts in the disaggregate nonwork purpose categories </w:t>
      </w:r>
      <w:r w:rsidR="00753D9A" w:rsidRPr="00AB55F1">
        <w:t xml:space="preserve">can be problematic and can produce predictions that can be negative. </w:t>
      </w:r>
      <w:r w:rsidR="00746474" w:rsidRPr="00AB55F1">
        <w:t xml:space="preserve"> </w:t>
      </w:r>
    </w:p>
    <w:p w14:paraId="208B48F7" w14:textId="6D8E99F6" w:rsidR="00945BE8" w:rsidRPr="00AB55F1" w:rsidRDefault="00945BE8" w:rsidP="00AB55F1">
      <w:pPr>
        <w:pStyle w:val="Default"/>
        <w:ind w:firstLine="720"/>
        <w:jc w:val="both"/>
      </w:pPr>
      <w:r w:rsidRPr="00AB55F1">
        <w:lastRenderedPageBreak/>
        <w:t xml:space="preserve">Pabilonia and Vernon (2020) examined the time-use patterns of individuals using the 2017-2018 American Time Use Survey (ATUS) interview and one-day time diary, as well as the Leave and Job Flexibilities (ATUS-LV) module. In their analysis, they examined nonwork activity time-use stratified by gender using a linear regression model of time spent in each of several nonwork activities using weekday time diaries. In this weekday analysis of the effect of teleworking on nonwork time use, they combined the occasional and home-based teleworker categories into a single teleworker category.  </w:t>
      </w:r>
      <w:r w:rsidR="00CB21C3" w:rsidRPr="00AB55F1">
        <w:t>T</w:t>
      </w:r>
      <w:r w:rsidRPr="00AB55F1">
        <w:t xml:space="preserve">hey found that office workers spent fewer minutes per day on non-commute trips (26 minutes for both male and female workers) compared to teleworkers working from home on the weekday diary day (31 minutes for both genders) and teleworkers working from the office on the weekday diary day (30 minutes for men and 29 minutes for women). In general, the results also indicate higher time allocations to food preparation, eating meals, caring for/spending time with family members and pets, and watching TV and computer activities for leisure among teleworkers relative to office workers, especially for teleworkers working from home on the diary day. In contrast, office workers and teleworkers who work from the office on the diary day spend more time socializing with coworkers than teleworkers working from home on the diary day. </w:t>
      </w:r>
    </w:p>
    <w:p w14:paraId="05F6F524" w14:textId="2A386172" w:rsidR="00371782" w:rsidRPr="00AB55F1" w:rsidRDefault="00371782" w:rsidP="00AB55F1">
      <w:pPr>
        <w:autoSpaceDE w:val="0"/>
        <w:autoSpaceDN w:val="0"/>
        <w:adjustRightInd w:val="0"/>
        <w:spacing w:after="0"/>
        <w:ind w:firstLine="720"/>
      </w:pPr>
      <w:r w:rsidRPr="00AB55F1">
        <w:t xml:space="preserve">Additional studies by </w:t>
      </w:r>
      <w:r w:rsidR="00C71542" w:rsidRPr="00AB55F1">
        <w:t>Zhu and Mason (2014) in the U.S. regarding vehicle miles of travel for nonwork trips, He and Hu (2015) in the Chicago region of the U.S.</w:t>
      </w:r>
      <w:r w:rsidR="00664EE1" w:rsidRPr="00AB55F1">
        <w:t xml:space="preserve"> with respect to nonwork trips</w:t>
      </w:r>
      <w:r w:rsidR="00C71542" w:rsidRPr="00AB55F1">
        <w:t xml:space="preserve">, </w:t>
      </w:r>
      <w:r w:rsidRPr="00AB55F1">
        <w:t>Budnitz et al. (2020)</w:t>
      </w:r>
      <w:r w:rsidR="001C7841" w:rsidRPr="00AB55F1">
        <w:t xml:space="preserve"> in England</w:t>
      </w:r>
      <w:r w:rsidR="003B40AF" w:rsidRPr="00AB55F1">
        <w:t xml:space="preserve"> regarding number of nonwork trips</w:t>
      </w:r>
      <w:r w:rsidRPr="00AB55F1">
        <w:t xml:space="preserve">, Bieser et al. (2021) </w:t>
      </w:r>
      <w:r w:rsidR="001C7841" w:rsidRPr="00AB55F1">
        <w:t>in Stockholm</w:t>
      </w:r>
      <w:r w:rsidR="003B40AF" w:rsidRPr="00AB55F1">
        <w:t xml:space="preserve"> with a focus on activity duration in nonwork activities</w:t>
      </w:r>
      <w:r w:rsidR="001C7841" w:rsidRPr="00AB55F1">
        <w:t>,</w:t>
      </w:r>
      <w:r w:rsidRPr="00AB55F1">
        <w:t xml:space="preserve"> Wang and Akar (2020)</w:t>
      </w:r>
      <w:r w:rsidR="003F047B" w:rsidRPr="00AB55F1">
        <w:t xml:space="preserve"> in the U.S. related to the length of nonwork trips, and Huang et al. (2023) in Switzerland with regard to the number of </w:t>
      </w:r>
      <w:r w:rsidR="003B40AF" w:rsidRPr="00AB55F1">
        <w:t xml:space="preserve">nonwork trips </w:t>
      </w:r>
      <w:r w:rsidRPr="00AB55F1">
        <w:t xml:space="preserve">found results </w:t>
      </w:r>
      <w:r w:rsidR="003B40AF" w:rsidRPr="00AB55F1">
        <w:t xml:space="preserve">generally </w:t>
      </w:r>
      <w:r w:rsidRPr="00AB55F1">
        <w:t>consistent with Asgari et al.</w:t>
      </w:r>
      <w:r w:rsidR="00664EE1" w:rsidRPr="00AB55F1">
        <w:t xml:space="preserve"> (2016)</w:t>
      </w:r>
      <w:r w:rsidR="00945BE8" w:rsidRPr="00AB55F1">
        <w:t xml:space="preserve">, </w:t>
      </w:r>
      <w:r w:rsidRPr="00AB55F1">
        <w:t>Zhu</w:t>
      </w:r>
      <w:r w:rsidR="00664EE1" w:rsidRPr="00AB55F1">
        <w:t xml:space="preserve"> (2012)</w:t>
      </w:r>
      <w:r w:rsidR="00945BE8" w:rsidRPr="00AB55F1">
        <w:t>, and Pabilonia and Vernon</w:t>
      </w:r>
      <w:r w:rsidRPr="00AB55F1">
        <w:t xml:space="preserve"> </w:t>
      </w:r>
      <w:r w:rsidR="00664EE1" w:rsidRPr="00AB55F1">
        <w:t xml:space="preserve">(2020) </w:t>
      </w:r>
      <w:r w:rsidR="003B40AF" w:rsidRPr="00AB55F1">
        <w:t xml:space="preserve">that teleworking increased the intensity in </w:t>
      </w:r>
      <w:r w:rsidR="003F047B" w:rsidRPr="00AB55F1">
        <w:t>most/</w:t>
      </w:r>
      <w:r w:rsidR="003B40AF" w:rsidRPr="00AB55F1">
        <w:t xml:space="preserve">all types of nonwork activities in terms of </w:t>
      </w:r>
      <w:r w:rsidR="00945BE8" w:rsidRPr="00AB55F1">
        <w:t>nonwork activity</w:t>
      </w:r>
      <w:r w:rsidR="003B40AF" w:rsidRPr="00AB55F1">
        <w:t xml:space="preserve"> participati</w:t>
      </w:r>
      <w:r w:rsidR="003F047B" w:rsidRPr="00AB55F1">
        <w:t>ons.</w:t>
      </w:r>
    </w:p>
    <w:p w14:paraId="4FFF2E80" w14:textId="77777777" w:rsidR="00AB55F1" w:rsidRPr="00AB55F1" w:rsidRDefault="00AB55F1" w:rsidP="00AB55F1">
      <w:pPr>
        <w:autoSpaceDE w:val="0"/>
        <w:autoSpaceDN w:val="0"/>
        <w:adjustRightInd w:val="0"/>
        <w:spacing w:after="0"/>
        <w:ind w:firstLine="720"/>
      </w:pPr>
    </w:p>
    <w:p w14:paraId="740F3C43" w14:textId="7DCECBD0" w:rsidR="00753D9A" w:rsidRPr="00AB55F1" w:rsidRDefault="00753D9A" w:rsidP="00AB55F1">
      <w:pPr>
        <w:spacing w:after="0"/>
        <w:rPr>
          <w:u w:val="single"/>
        </w:rPr>
      </w:pPr>
      <w:r w:rsidRPr="00AB55F1">
        <w:rPr>
          <w:u w:val="single"/>
        </w:rPr>
        <w:t>NT Studies</w:t>
      </w:r>
    </w:p>
    <w:p w14:paraId="351C0C35" w14:textId="6A15A6DD" w:rsidR="003B06CC" w:rsidRPr="00AB55F1" w:rsidRDefault="00371782" w:rsidP="00AB55F1">
      <w:pPr>
        <w:spacing w:after="0"/>
      </w:pPr>
      <w:r w:rsidRPr="00AB55F1">
        <w:t>Within the</w:t>
      </w:r>
      <w:r w:rsidR="00522D68" w:rsidRPr="00AB55F1">
        <w:t xml:space="preserve"> </w:t>
      </w:r>
      <w:r w:rsidR="00055E09" w:rsidRPr="00AB55F1">
        <w:t>category</w:t>
      </w:r>
      <w:r w:rsidRPr="00AB55F1">
        <w:t xml:space="preserve"> of NT studies</w:t>
      </w:r>
      <w:r w:rsidR="00522D68" w:rsidRPr="00AB55F1">
        <w:t xml:space="preserve">, we are aware of only one study </w:t>
      </w:r>
      <w:r w:rsidR="00055E09" w:rsidRPr="00AB55F1">
        <w:t xml:space="preserve">– that </w:t>
      </w:r>
      <w:r w:rsidR="00522D68" w:rsidRPr="00AB55F1">
        <w:t xml:space="preserve">by Lila and Anjaneyulu (2022). The basic premise is that </w:t>
      </w:r>
      <w:r w:rsidRPr="00AB55F1">
        <w:t xml:space="preserve">individuals who participate in increased nonwork </w:t>
      </w:r>
      <w:r w:rsidR="00304F05" w:rsidRPr="00AB55F1">
        <w:t>activity-</w:t>
      </w:r>
      <w:r w:rsidRPr="00AB55F1">
        <w:t xml:space="preserve">travel tend to appreciate their leisure time and value the freedom to partake in enjoyable activities beyond their homes. Consequently, they are more inclined to embrace </w:t>
      </w:r>
      <w:r w:rsidR="00522D68" w:rsidRPr="00AB55F1">
        <w:t>tele</w:t>
      </w:r>
      <w:r w:rsidRPr="00AB55F1">
        <w:t xml:space="preserve">work, as it aligns with their preference for a flexible lifestyle. Lila and Anjaneyulu </w:t>
      </w:r>
      <w:r w:rsidR="00304F05" w:rsidRPr="00AB55F1">
        <w:t xml:space="preserve">(2022) </w:t>
      </w:r>
      <w:r w:rsidRPr="00AB55F1">
        <w:t xml:space="preserve">employed </w:t>
      </w:r>
      <w:r w:rsidR="00375C3D" w:rsidRPr="00AB55F1">
        <w:t xml:space="preserve">a multinomial logit (MNL) </w:t>
      </w:r>
      <w:r w:rsidRPr="00AB55F1">
        <w:t xml:space="preserve">model to </w:t>
      </w:r>
      <w:r w:rsidR="00375C3D" w:rsidRPr="00AB55F1">
        <w:t>analyze</w:t>
      </w:r>
      <w:r w:rsidRPr="00AB55F1">
        <w:t xml:space="preserve"> telework frequency </w:t>
      </w:r>
      <w:r w:rsidR="0030645B" w:rsidRPr="00AB55F1">
        <w:t xml:space="preserve">of workers </w:t>
      </w:r>
      <w:r w:rsidR="00375C3D" w:rsidRPr="00AB55F1">
        <w:t>based</w:t>
      </w:r>
      <w:r w:rsidR="0030645B" w:rsidRPr="00AB55F1">
        <w:t xml:space="preserve"> on</w:t>
      </w:r>
      <w:r w:rsidR="00375C3D" w:rsidRPr="00AB55F1">
        <w:t xml:space="preserve"> </w:t>
      </w:r>
      <w:r w:rsidR="00304F05" w:rsidRPr="00AB55F1">
        <w:t xml:space="preserve">an activity-travel survey conducted in Bengaluru, </w:t>
      </w:r>
      <w:r w:rsidRPr="00AB55F1">
        <w:t>India</w:t>
      </w:r>
      <w:r w:rsidR="00304F05" w:rsidRPr="00AB55F1">
        <w:t>,</w:t>
      </w:r>
      <w:r w:rsidRPr="00AB55F1">
        <w:t xml:space="preserve"> in 2013</w:t>
      </w:r>
      <w:r w:rsidR="00375C3D" w:rsidRPr="00AB55F1">
        <w:t>. They identified</w:t>
      </w:r>
      <w:r w:rsidRPr="00AB55F1">
        <w:t xml:space="preserve"> </w:t>
      </w:r>
      <w:r w:rsidR="00304F05" w:rsidRPr="00AB55F1">
        <w:t>four</w:t>
      </w:r>
      <w:r w:rsidRPr="00AB55F1">
        <w:t xml:space="preserve"> </w:t>
      </w:r>
      <w:r w:rsidR="00375C3D" w:rsidRPr="00AB55F1">
        <w:t>nominal categories to represent weekly teleworking intensity</w:t>
      </w:r>
      <w:r w:rsidRPr="00AB55F1">
        <w:t>:</w:t>
      </w:r>
      <w:r w:rsidR="000D72CD" w:rsidRPr="00AB55F1">
        <w:t xml:space="preserve"> “Never”, </w:t>
      </w:r>
      <w:r w:rsidR="005D4542">
        <w:t>“</w:t>
      </w:r>
      <w:r w:rsidRPr="00AB55F1">
        <w:t>low</w:t>
      </w:r>
      <w:r w:rsidR="005D4542">
        <w:t>”</w:t>
      </w:r>
      <w:r w:rsidRPr="00AB55F1">
        <w:t xml:space="preserve"> for those </w:t>
      </w:r>
      <w:r w:rsidR="000D72CD" w:rsidRPr="00AB55F1">
        <w:t xml:space="preserve">telework </w:t>
      </w:r>
      <w:r w:rsidR="00304F05" w:rsidRPr="00AB55F1">
        <w:t>only occasionally</w:t>
      </w:r>
      <w:r w:rsidRPr="00AB55F1">
        <w:t xml:space="preserve">, </w:t>
      </w:r>
      <w:r w:rsidR="005D4542">
        <w:t>“</w:t>
      </w:r>
      <w:r w:rsidRPr="00AB55F1">
        <w:t>medium</w:t>
      </w:r>
      <w:r w:rsidR="005D4542">
        <w:t>”</w:t>
      </w:r>
      <w:r w:rsidRPr="00AB55F1">
        <w:t xml:space="preserve"> for those teleworking once a week, and </w:t>
      </w:r>
      <w:r w:rsidR="005D4542">
        <w:t>“</w:t>
      </w:r>
      <w:r w:rsidRPr="00AB55F1">
        <w:t>high</w:t>
      </w:r>
      <w:r w:rsidR="005D4542">
        <w:t>”</w:t>
      </w:r>
      <w:r w:rsidRPr="00AB55F1">
        <w:t xml:space="preserve"> for those teleworking two days or more per week. They subsequently introduced </w:t>
      </w:r>
      <w:r w:rsidR="005D4542">
        <w:t>“</w:t>
      </w:r>
      <w:r w:rsidRPr="00AB55F1">
        <w:t>participate in nonwork activities</w:t>
      </w:r>
      <w:r w:rsidR="005D4542">
        <w:t>”</w:t>
      </w:r>
      <w:r w:rsidR="0030645B" w:rsidRPr="00AB55F1">
        <w:t xml:space="preserve"> of the individual</w:t>
      </w:r>
      <w:r w:rsidRPr="00AB55F1">
        <w:t xml:space="preserve"> </w:t>
      </w:r>
      <w:r w:rsidR="00304F05" w:rsidRPr="00AB55F1">
        <w:t xml:space="preserve">on the survey day (a typical weekday) </w:t>
      </w:r>
      <w:r w:rsidRPr="00AB55F1">
        <w:t xml:space="preserve">as a singular exogenous variable, encompassing activities such as shopping, drop/pickup tasks, religious events, medical appointments, social meetings, movie outings, park visits, dining outside, bank visits, post office errands, or payment of bills. </w:t>
      </w:r>
      <w:r w:rsidR="000D72CD" w:rsidRPr="00AB55F1">
        <w:t xml:space="preserve">While not </w:t>
      </w:r>
      <w:r w:rsidR="00375C3D" w:rsidRPr="00AB55F1">
        <w:t xml:space="preserve">precisely specified, it appears that the “participate in nonwork activities” variable was introduced as a </w:t>
      </w:r>
      <w:r w:rsidR="00522D68" w:rsidRPr="00AB55F1">
        <w:t xml:space="preserve">single </w:t>
      </w:r>
      <w:r w:rsidR="00375C3D" w:rsidRPr="00AB55F1">
        <w:t xml:space="preserve">dummy variable (did the individual participate in a nonwork activity or not during the reported travel weekday) in the analysis. </w:t>
      </w:r>
      <w:r w:rsidRPr="00AB55F1">
        <w:t xml:space="preserve">Their findings revealed that individuals </w:t>
      </w:r>
      <w:r w:rsidR="00375C3D" w:rsidRPr="00AB55F1">
        <w:t xml:space="preserve">who </w:t>
      </w:r>
      <w:r w:rsidRPr="00AB55F1">
        <w:t xml:space="preserve">participate in nonwork activities </w:t>
      </w:r>
      <w:r w:rsidR="00375C3D" w:rsidRPr="00AB55F1">
        <w:t xml:space="preserve">on the reported travel weekday are most predisposed to partake in low and high levels of teleworking, followed by medium levels of teleworking (with “never” teleworking being the base category). </w:t>
      </w:r>
    </w:p>
    <w:p w14:paraId="3E99B1A1" w14:textId="77777777" w:rsidR="00AB55F1" w:rsidRPr="00AB55F1" w:rsidRDefault="00AB55F1" w:rsidP="00AB55F1">
      <w:pPr>
        <w:spacing w:after="0"/>
      </w:pPr>
    </w:p>
    <w:p w14:paraId="121564CA" w14:textId="62B37DAF" w:rsidR="00FC1FBD" w:rsidRPr="00AB55F1" w:rsidRDefault="00FC1FBD" w:rsidP="00AB55F1">
      <w:pPr>
        <w:pStyle w:val="Heading2"/>
        <w:spacing w:before="0"/>
      </w:pPr>
      <w:r w:rsidRPr="00AB55F1">
        <w:lastRenderedPageBreak/>
        <w:t xml:space="preserve">A Summary </w:t>
      </w:r>
      <w:r w:rsidR="005D2EF8" w:rsidRPr="00AB55F1">
        <w:t>of the Literature and</w:t>
      </w:r>
      <w:r w:rsidRPr="00AB55F1">
        <w:t xml:space="preserve"> the Current Paper in Context</w:t>
      </w:r>
    </w:p>
    <w:p w14:paraId="21D65219" w14:textId="062A23CF" w:rsidR="00F16567" w:rsidRPr="00AB55F1" w:rsidRDefault="00FC1FBD" w:rsidP="00AB55F1">
      <w:pPr>
        <w:spacing w:after="0"/>
      </w:pPr>
      <w:r w:rsidRPr="00AB55F1">
        <w:t>The literature overview indicates that</w:t>
      </w:r>
      <w:r w:rsidR="0050175B" w:rsidRPr="00AB55F1">
        <w:t xml:space="preserve">, from </w:t>
      </w:r>
      <w:r w:rsidR="0050175B" w:rsidRPr="00AB55F1">
        <w:rPr>
          <w:u w:val="single"/>
        </w:rPr>
        <w:t>a causal direction viewpoint</w:t>
      </w:r>
      <w:r w:rsidR="0050175B" w:rsidRPr="00AB55F1">
        <w:t>,</w:t>
      </w:r>
      <w:r w:rsidRPr="00AB55F1">
        <w:t xml:space="preserve"> all studies to date (except for one) consider teleworking to have a causal effect on nonwork activity-travel within the TN pathway effect. Also, except for Zhu</w:t>
      </w:r>
      <w:r w:rsidR="00306B06" w:rsidRPr="00AB55F1">
        <w:t xml:space="preserve"> (2012)</w:t>
      </w:r>
      <w:r w:rsidRPr="00AB55F1">
        <w:t xml:space="preserve"> and </w:t>
      </w:r>
      <w:r w:rsidR="00306B06" w:rsidRPr="00AB55F1">
        <w:t>He and Hu (2015)</w:t>
      </w:r>
      <w:r w:rsidRPr="00AB55F1">
        <w:t>, all other TN studies consider teleworking to be predetermined (</w:t>
      </w:r>
      <w:r w:rsidR="00055E09" w:rsidRPr="00AB55F1">
        <w:t xml:space="preserve">strictly </w:t>
      </w:r>
      <w:r w:rsidRPr="00AB55F1">
        <w:t>exogenous) to nonwork activity-travel. Lila and Anjaneyulu (2022) is the only study th</w:t>
      </w:r>
      <w:r w:rsidR="00055E09" w:rsidRPr="00AB55F1">
        <w:t>at</w:t>
      </w:r>
      <w:r w:rsidRPr="00AB55F1">
        <w:t xml:space="preserve"> considers the reverse NT causal pathway, assuming nonwork activity participation is predetermined (exogenous) to telework decisions. </w:t>
      </w:r>
      <w:r w:rsidR="0050175B" w:rsidRPr="00AB55F1">
        <w:rPr>
          <w:u w:val="single"/>
        </w:rPr>
        <w:t>From the standpoint of characterizing telework and nonwork activity participation</w:t>
      </w:r>
      <w:r w:rsidR="0050175B" w:rsidRPr="00AB55F1">
        <w:t>, m</w:t>
      </w:r>
      <w:r w:rsidRPr="00AB55F1">
        <w:t xml:space="preserve">ost studies consider teleworking in </w:t>
      </w:r>
      <w:r w:rsidR="00EB3F3A" w:rsidRPr="00AB55F1">
        <w:t xml:space="preserve">binary or </w:t>
      </w:r>
      <w:r w:rsidRPr="00AB55F1">
        <w:t xml:space="preserve">ordinal categories </w:t>
      </w:r>
      <w:r w:rsidR="00EB3F3A" w:rsidRPr="00AB55F1">
        <w:t>based on intensity of telework over a week or longer spans of time</w:t>
      </w:r>
      <w:r w:rsidR="0037031C" w:rsidRPr="00AB55F1">
        <w:t>, though at least one study (Asgari et al., 2016) uses telework hours during the survey day</w:t>
      </w:r>
      <w:r w:rsidR="00EB3F3A" w:rsidRPr="00AB55F1">
        <w:t>. Nonwork activity-travel is captured through different dimensions, mostly focusing on nonwork trips and/or nonwork vehicle miles/kilometers of travel</w:t>
      </w:r>
      <w:r w:rsidR="005B3E0D" w:rsidRPr="00AB55F1">
        <w:t xml:space="preserve">. </w:t>
      </w:r>
      <w:r w:rsidR="00D43DCB" w:rsidRPr="00AB55F1">
        <w:t xml:space="preserve">However, some studies have also considered nonwork activity durations (Stiles and Smart, 2021 and Asgari et al., 2016) or nonwork tours (Shah et al., </w:t>
      </w:r>
      <w:r w:rsidR="001748FE" w:rsidRPr="00AB55F1">
        <w:t>2024</w:t>
      </w:r>
      <w:r w:rsidR="00D43DCB" w:rsidRPr="00AB55F1">
        <w:t xml:space="preserve">). </w:t>
      </w:r>
      <w:r w:rsidR="005B3E0D" w:rsidRPr="00AB55F1">
        <w:t xml:space="preserve">From a </w:t>
      </w:r>
      <w:r w:rsidR="005B3E0D" w:rsidRPr="00AB55F1">
        <w:rPr>
          <w:u w:val="single"/>
        </w:rPr>
        <w:t>t</w:t>
      </w:r>
      <w:r w:rsidR="00D43DCB" w:rsidRPr="00AB55F1">
        <w:rPr>
          <w:u w:val="single"/>
        </w:rPr>
        <w:t xml:space="preserve">ime </w:t>
      </w:r>
      <w:r w:rsidR="005B3E0D" w:rsidRPr="00AB55F1">
        <w:rPr>
          <w:u w:val="single"/>
        </w:rPr>
        <w:t xml:space="preserve">unit </w:t>
      </w:r>
      <w:r w:rsidR="00D43DCB" w:rsidRPr="00AB55F1">
        <w:rPr>
          <w:u w:val="single"/>
        </w:rPr>
        <w:t xml:space="preserve">analysis </w:t>
      </w:r>
      <w:r w:rsidR="005B3E0D" w:rsidRPr="00AB55F1">
        <w:rPr>
          <w:u w:val="single"/>
        </w:rPr>
        <w:t>standpoint</w:t>
      </w:r>
      <w:r w:rsidR="005B3E0D" w:rsidRPr="00AB55F1">
        <w:t xml:space="preserve">, most studies </w:t>
      </w:r>
      <w:r w:rsidR="00D43DCB" w:rsidRPr="00AB55F1">
        <w:t xml:space="preserve">use </w:t>
      </w:r>
      <w:r w:rsidR="00EB3F3A" w:rsidRPr="00AB55F1">
        <w:t xml:space="preserve">a single day as the unit of analysis </w:t>
      </w:r>
      <w:r w:rsidR="00D43DCB" w:rsidRPr="00AB55F1">
        <w:t xml:space="preserve">for nonwork travel, with fewer studies (see, for example, Cerqueira et al., 2020 and </w:t>
      </w:r>
      <w:r w:rsidR="00B8253A" w:rsidRPr="00AB55F1">
        <w:t>Cald</w:t>
      </w:r>
      <w:r w:rsidR="00B8253A">
        <w:t>a</w:t>
      </w:r>
      <w:r w:rsidR="00B8253A" w:rsidRPr="00AB55F1">
        <w:t>r</w:t>
      </w:r>
      <w:r w:rsidR="00B8253A">
        <w:t>ol</w:t>
      </w:r>
      <w:r w:rsidR="00B8253A" w:rsidRPr="00AB55F1">
        <w:t>a</w:t>
      </w:r>
      <w:r w:rsidR="00D43DCB" w:rsidRPr="00AB55F1">
        <w:t xml:space="preserve"> and Sorrell, 2020) employing </w:t>
      </w:r>
      <w:r w:rsidR="00EB3F3A" w:rsidRPr="00AB55F1">
        <w:t>a</w:t>
      </w:r>
      <w:r w:rsidR="00664EE1" w:rsidRPr="00AB55F1">
        <w:t xml:space="preserve"> </w:t>
      </w:r>
      <w:r w:rsidR="00EB3F3A" w:rsidRPr="00AB55F1">
        <w:t xml:space="preserve">week as the unit of analysis </w:t>
      </w:r>
      <w:r w:rsidR="005B3E0D" w:rsidRPr="00AB55F1">
        <w:t xml:space="preserve">to accommodate natural variations </w:t>
      </w:r>
      <w:r w:rsidR="00D43DCB" w:rsidRPr="00AB55F1">
        <w:t xml:space="preserve">(as well as variations across teleworking and non-teleworking days) </w:t>
      </w:r>
      <w:r w:rsidR="005B3E0D" w:rsidRPr="00AB55F1">
        <w:t>across days in nonwork travel</w:t>
      </w:r>
      <w:r w:rsidR="0037031C" w:rsidRPr="00AB55F1">
        <w:t xml:space="preserve">. </w:t>
      </w:r>
      <w:r w:rsidR="00A06075" w:rsidRPr="00AB55F1">
        <w:t xml:space="preserve">From a </w:t>
      </w:r>
      <w:r w:rsidR="00A06075" w:rsidRPr="00AB55F1">
        <w:rPr>
          <w:u w:val="single"/>
        </w:rPr>
        <w:t>nonwork purpose disaggregation standpoint</w:t>
      </w:r>
      <w:r w:rsidR="00A06075" w:rsidRPr="00AB55F1">
        <w:t>, studies do show differences in the telework-nonwork relationship based on nonwork purpose, especially between maintenance activities and</w:t>
      </w:r>
      <w:r w:rsidR="00FA1883" w:rsidRPr="00AB55F1">
        <w:t xml:space="preserve"> leisure</w:t>
      </w:r>
      <w:r w:rsidR="00A06075" w:rsidRPr="00AB55F1">
        <w:t xml:space="preserve"> activities. </w:t>
      </w:r>
      <w:r w:rsidR="005B0E7D" w:rsidRPr="00AB55F1">
        <w:t xml:space="preserve">From a </w:t>
      </w:r>
      <w:r w:rsidR="003F2279" w:rsidRPr="00AB55F1">
        <w:rPr>
          <w:u w:val="single"/>
        </w:rPr>
        <w:t xml:space="preserve">decision maker </w:t>
      </w:r>
      <w:r w:rsidR="005B0E7D" w:rsidRPr="00AB55F1">
        <w:rPr>
          <w:u w:val="single"/>
        </w:rPr>
        <w:t>unit of analysis</w:t>
      </w:r>
      <w:r w:rsidR="0050175B" w:rsidRPr="00AB55F1">
        <w:t xml:space="preserve"> perspective</w:t>
      </w:r>
      <w:r w:rsidR="005B0E7D" w:rsidRPr="00AB55F1">
        <w:t>, most studies conside</w:t>
      </w:r>
      <w:r w:rsidR="000344CB" w:rsidRPr="00AB55F1">
        <w:t>r</w:t>
      </w:r>
      <w:r w:rsidR="005B0E7D" w:rsidRPr="00AB55F1">
        <w:t xml:space="preserve"> an individual-level of analysis for nonwork activity, while a few studies (see Kim et al</w:t>
      </w:r>
      <w:r w:rsidR="00A904B4" w:rsidRPr="00AB55F1">
        <w:t>.</w:t>
      </w:r>
      <w:r w:rsidR="005B0E7D" w:rsidRPr="00AB55F1">
        <w:t>, 2015</w:t>
      </w:r>
      <w:r w:rsidR="00F16567" w:rsidRPr="00AB55F1">
        <w:t xml:space="preserve"> and Kim, 2017) </w:t>
      </w:r>
      <w:r w:rsidR="005B0E7D" w:rsidRPr="00AB55F1">
        <w:t xml:space="preserve">have considered nonwork activity </w:t>
      </w:r>
      <w:r w:rsidR="00F16567" w:rsidRPr="00AB55F1">
        <w:t xml:space="preserve">of other household members too. However, important to note is that these </w:t>
      </w:r>
      <w:r w:rsidR="000344CB" w:rsidRPr="00AB55F1">
        <w:t xml:space="preserve">latter </w:t>
      </w:r>
      <w:r w:rsidR="00F16567" w:rsidRPr="00AB55F1">
        <w:t>studies do consider teleworking at a</w:t>
      </w:r>
      <w:r w:rsidR="000344CB" w:rsidRPr="00AB55F1">
        <w:t xml:space="preserve">n </w:t>
      </w:r>
      <w:r w:rsidR="00F16567" w:rsidRPr="00AB55F1">
        <w:t xml:space="preserve">individual level rather than </w:t>
      </w:r>
      <w:r w:rsidR="000344CB" w:rsidRPr="00AB55F1">
        <w:t xml:space="preserve">considering </w:t>
      </w:r>
      <w:r w:rsidR="00F16567" w:rsidRPr="00AB55F1">
        <w:t xml:space="preserve">teleworking of all members of the household. </w:t>
      </w:r>
      <w:r w:rsidR="00ED01CF" w:rsidRPr="00AB55F1">
        <w:t xml:space="preserve">For consistency in the decision maker unit across both teleworking and nonwork, </w:t>
      </w:r>
      <w:r w:rsidR="00055E09" w:rsidRPr="00AB55F1">
        <w:t xml:space="preserve">in the current study, </w:t>
      </w:r>
      <w:r w:rsidR="00ED01CF" w:rsidRPr="00AB55F1">
        <w:t xml:space="preserve">we maintain an individual-level analysis, leaving a household-level analysis along both dimensions for future research. </w:t>
      </w:r>
    </w:p>
    <w:p w14:paraId="056C6149" w14:textId="18EED238" w:rsidR="00371782" w:rsidRPr="00AB55F1" w:rsidRDefault="00306B06" w:rsidP="00AB55F1">
      <w:pPr>
        <w:spacing w:after="0"/>
        <w:ind w:firstLine="720"/>
      </w:pPr>
      <w:r w:rsidRPr="00AB55F1">
        <w:t xml:space="preserve">Overall, two overarching issues need to pointed out regarding the previous studies. </w:t>
      </w:r>
      <w:r w:rsidRPr="00AB55F1">
        <w:rPr>
          <w:u w:val="single"/>
        </w:rPr>
        <w:t>First</w:t>
      </w:r>
      <w:r w:rsidRPr="00AB55F1">
        <w:t xml:space="preserve">, they have all been undertaken </w:t>
      </w:r>
      <w:r w:rsidR="001B75A9" w:rsidRPr="00AB55F1">
        <w:t xml:space="preserve">based on data </w:t>
      </w:r>
      <w:r w:rsidRPr="00AB55F1">
        <w:t xml:space="preserve">before the pandemic </w:t>
      </w:r>
      <w:r w:rsidR="001B75A9" w:rsidRPr="00AB55F1">
        <w:t>and/</w:t>
      </w:r>
      <w:r w:rsidRPr="00AB55F1">
        <w:t xml:space="preserve">or </w:t>
      </w:r>
      <w:r w:rsidR="001B75A9" w:rsidRPr="00AB55F1">
        <w:t xml:space="preserve">well before any semblance of normality had returned after the worst of the pandemic (Obeid et al., 2022 is the only study that did have data from mid-2021; all other studies were based on data before the onset of the pandemic in early 2020 or during the height of the pandemic). </w:t>
      </w:r>
      <w:r w:rsidR="000A77F5" w:rsidRPr="00AB55F1">
        <w:t xml:space="preserve">In this regard, and while still evolving, </w:t>
      </w:r>
      <w:r w:rsidRPr="00AB55F1">
        <w:t xml:space="preserve">there is little doubt that the extent of adoption and intensity of teleworking has </w:t>
      </w:r>
      <w:r w:rsidR="000A77F5" w:rsidRPr="00AB55F1">
        <w:t xml:space="preserve">seen a sea change from before the pandemic (see, for example, Asmussen et al., </w:t>
      </w:r>
      <w:r w:rsidR="001748FE" w:rsidRPr="00AB55F1">
        <w:t>2024</w:t>
      </w:r>
      <w:r w:rsidR="00AB236A">
        <w:t>b</w:t>
      </w:r>
      <w:r w:rsidR="000A77F5" w:rsidRPr="00AB55F1">
        <w:t>). Also,</w:t>
      </w:r>
      <w:r w:rsidRPr="00AB55F1">
        <w:t xml:space="preserve"> teleworking patterns and nonwork activity-travel patterns were still in transitory mode in</w:t>
      </w:r>
      <w:r w:rsidR="001B75A9" w:rsidRPr="00AB55F1">
        <w:t xml:space="preserve"> 2020 and also early in 2021</w:t>
      </w:r>
      <w:r w:rsidRPr="00AB55F1">
        <w:t xml:space="preserve">. </w:t>
      </w:r>
      <w:r w:rsidR="000A77F5" w:rsidRPr="00AB55F1">
        <w:t xml:space="preserve">Thus, there is a </w:t>
      </w:r>
      <w:r w:rsidR="00055E09" w:rsidRPr="00AB55F1">
        <w:t xml:space="preserve">continuing </w:t>
      </w:r>
      <w:r w:rsidR="000A77F5" w:rsidRPr="00AB55F1">
        <w:t xml:space="preserve">need to study the telework-nonwork activity-travel relationship </w:t>
      </w:r>
      <w:r w:rsidR="001B75A9" w:rsidRPr="00AB55F1">
        <w:t xml:space="preserve">based on data </w:t>
      </w:r>
      <w:r w:rsidR="000A77F5" w:rsidRPr="00AB55F1">
        <w:t xml:space="preserve">in </w:t>
      </w:r>
      <w:r w:rsidR="001B75A9" w:rsidRPr="00AB55F1">
        <w:t xml:space="preserve">a </w:t>
      </w:r>
      <w:r w:rsidR="000A77F5" w:rsidRPr="00AB55F1">
        <w:t xml:space="preserve">new landscape when the worst of the pandemic </w:t>
      </w:r>
      <w:r w:rsidR="001B75A9" w:rsidRPr="00AB55F1">
        <w:t>wa</w:t>
      </w:r>
      <w:r w:rsidR="000A77F5" w:rsidRPr="00AB55F1">
        <w:t xml:space="preserve">s clearly in the rear view mirror. </w:t>
      </w:r>
      <w:r w:rsidR="000A77F5" w:rsidRPr="00AB55F1">
        <w:rPr>
          <w:u w:val="single"/>
        </w:rPr>
        <w:t>Second</w:t>
      </w:r>
      <w:r w:rsidR="000A77F5" w:rsidRPr="00AB55F1">
        <w:t xml:space="preserve">, all previous studies assume </w:t>
      </w:r>
      <w:r w:rsidR="000A77F5" w:rsidRPr="00AB55F1">
        <w:rPr>
          <w:i/>
          <w:iCs/>
        </w:rPr>
        <w:t>a priori</w:t>
      </w:r>
      <w:r w:rsidR="000A77F5" w:rsidRPr="00AB55F1">
        <w:t xml:space="preserve"> a one directional causal pathway effect of relationship between telework and nonwork activity-travel. It is in these two broad contexts that we undertake the current study, </w:t>
      </w:r>
      <w:bookmarkEnd w:id="5"/>
      <w:r w:rsidR="000A77F5" w:rsidRPr="00AB55F1">
        <w:t xml:space="preserve">which </w:t>
      </w:r>
      <w:r w:rsidR="00072225" w:rsidRPr="00AB55F1">
        <w:t>is based on</w:t>
      </w:r>
      <w:r w:rsidR="00072225" w:rsidRPr="00AB55F1">
        <w:rPr>
          <w:u w:val="single"/>
        </w:rPr>
        <w:t xml:space="preserve"> </w:t>
      </w:r>
      <w:r w:rsidR="00072225" w:rsidRPr="00AB55F1">
        <w:t xml:space="preserve">data from the post-COVID time frame in late 2021 and early 2022 as well as </w:t>
      </w:r>
      <w:r w:rsidR="00371782" w:rsidRPr="00AB55F1">
        <w:t xml:space="preserve">presents a novel latent segmentation framework </w:t>
      </w:r>
      <w:r w:rsidR="00072225" w:rsidRPr="00AB55F1">
        <w:t>t</w:t>
      </w:r>
      <w:r w:rsidR="00371782" w:rsidRPr="00AB55F1">
        <w:t xml:space="preserve">o explore the </w:t>
      </w:r>
      <w:r w:rsidR="000A77F5" w:rsidRPr="00AB55F1">
        <w:t xml:space="preserve">potential </w:t>
      </w:r>
      <w:r w:rsidR="00FE0D98" w:rsidRPr="00AB55F1">
        <w:t xml:space="preserve">heterogeneity across individuals in the </w:t>
      </w:r>
      <w:r w:rsidR="000A77F5" w:rsidRPr="00AB55F1">
        <w:t xml:space="preserve">causal </w:t>
      </w:r>
      <w:r w:rsidR="00371782" w:rsidRPr="00AB55F1">
        <w:t>relationship between telework frequency and nonwork travel</w:t>
      </w:r>
      <w:r w:rsidR="000A77F5" w:rsidRPr="00AB55F1">
        <w:t xml:space="preserve">. </w:t>
      </w:r>
      <w:r w:rsidR="00072225" w:rsidRPr="00AB55F1">
        <w:t xml:space="preserve">In addition, </w:t>
      </w:r>
      <w:r w:rsidR="00371782" w:rsidRPr="00AB55F1">
        <w:t xml:space="preserve">our </w:t>
      </w:r>
      <w:r w:rsidR="000A77F5" w:rsidRPr="00AB55F1">
        <w:t xml:space="preserve">current research </w:t>
      </w:r>
      <w:r w:rsidR="00072225" w:rsidRPr="00AB55F1">
        <w:t xml:space="preserve">focuses on the </w:t>
      </w:r>
      <w:r w:rsidR="00371782" w:rsidRPr="00AB55F1">
        <w:t>number of nonwork stops</w:t>
      </w:r>
      <w:r w:rsidR="00072225" w:rsidRPr="00AB55F1">
        <w:t xml:space="preserve"> as the activity-travel dimension of interest</w:t>
      </w:r>
      <w:r w:rsidR="00371782" w:rsidRPr="00AB55F1">
        <w:t xml:space="preserve">, as opposed to nonwork vehicle miles of travel or time spent traveling in the studies. </w:t>
      </w:r>
      <w:r w:rsidR="003F047B" w:rsidRPr="00AB55F1">
        <w:t xml:space="preserve">The reason for our use of nonwork stops is that it constitutes </w:t>
      </w:r>
      <w:r w:rsidR="00E3282B" w:rsidRPr="00AB55F1">
        <w:t xml:space="preserve">an important </w:t>
      </w:r>
      <w:r w:rsidR="00E96B32" w:rsidRPr="00AB55F1">
        <w:t xml:space="preserve">first </w:t>
      </w:r>
      <w:r w:rsidR="00E3282B" w:rsidRPr="00AB55F1">
        <w:t xml:space="preserve">element </w:t>
      </w:r>
      <w:r w:rsidR="003F047B" w:rsidRPr="00AB55F1">
        <w:t xml:space="preserve">of activity generation, </w:t>
      </w:r>
      <w:r w:rsidR="00E3282B" w:rsidRPr="00AB55F1">
        <w:t xml:space="preserve">with many other space-time </w:t>
      </w:r>
      <w:r w:rsidR="00E96B32" w:rsidRPr="00AB55F1">
        <w:t xml:space="preserve">travel </w:t>
      </w:r>
      <w:r w:rsidR="00E3282B" w:rsidRPr="00AB55F1">
        <w:t xml:space="preserve">considerations (including where to </w:t>
      </w:r>
      <w:r w:rsidR="00E3282B" w:rsidRPr="00AB55F1">
        <w:lastRenderedPageBreak/>
        <w:t>participate, how to insert stops into tours, travel mode, and duration of stops that determine travel distance, travel times, activity durations, and tour-making) of the stops typically decided in further downstream scheduling decisions (see Bhat and Koppelman, 1993; Goulias et al., 201</w:t>
      </w:r>
      <w:r w:rsidR="001748FE" w:rsidRPr="00AB55F1">
        <w:t>2</w:t>
      </w:r>
      <w:r w:rsidR="00E3282B" w:rsidRPr="00AB55F1">
        <w:t xml:space="preserve">; </w:t>
      </w:r>
      <w:r w:rsidR="004D590A" w:rsidRPr="00AB55F1">
        <w:t>Allahviranloo, 2016</w:t>
      </w:r>
      <w:r w:rsidR="00191B10" w:rsidRPr="00AB55F1">
        <w:t>, Dianat et al.,</w:t>
      </w:r>
      <w:r w:rsidR="006F1274" w:rsidRPr="00AB55F1">
        <w:t xml:space="preserve"> 2020</w:t>
      </w:r>
      <w:r w:rsidR="00E3282B" w:rsidRPr="00AB55F1">
        <w:t xml:space="preserve">). </w:t>
      </w:r>
      <w:r w:rsidR="00371782" w:rsidRPr="00AB55F1">
        <w:t xml:space="preserve">In this regard, our study has similarities with </w:t>
      </w:r>
      <w:r w:rsidR="00E3282B" w:rsidRPr="00AB55F1">
        <w:t xml:space="preserve">earlier studies such as </w:t>
      </w:r>
      <w:r w:rsidR="00371782" w:rsidRPr="00AB55F1">
        <w:t>Huang et al. (2023) and Obeid et al. (202</w:t>
      </w:r>
      <w:r w:rsidR="00B8253A">
        <w:t>2</w:t>
      </w:r>
      <w:r w:rsidR="00371782" w:rsidRPr="00AB55F1">
        <w:t xml:space="preserve">). However, we use a </w:t>
      </w:r>
      <w:r w:rsidR="00FA1883" w:rsidRPr="00AB55F1">
        <w:t xml:space="preserve">count </w:t>
      </w:r>
      <w:r w:rsidR="00371782" w:rsidRPr="00AB55F1">
        <w:t xml:space="preserve">approach appropriate for </w:t>
      </w:r>
      <w:r w:rsidR="00FA1883" w:rsidRPr="00AB55F1">
        <w:t xml:space="preserve">the discrete count of nonwork stops </w:t>
      </w:r>
      <w:r w:rsidR="00371782" w:rsidRPr="00AB55F1">
        <w:t xml:space="preserve">rather than descriptive or linear regression methods. </w:t>
      </w:r>
      <w:r w:rsidR="00072225" w:rsidRPr="00AB55F1">
        <w:t xml:space="preserve">We also disaggregate nonwork stops by maintenance and leisure purposes, based on evidence from earlier literature that the telework-nonwork relationship varies by these two broad nonwork activity purposes. </w:t>
      </w:r>
      <w:r w:rsidR="005D2EF8" w:rsidRPr="00AB55F1">
        <w:t xml:space="preserve">But, while earlier studies that have distinguished between maintenance and leisure purposes have considered the purposes independently, we accommodate the potential jointness in decision-making across the two different types of nonwork activities. We accomplish this using a </w:t>
      </w:r>
      <w:r w:rsidR="0050175B" w:rsidRPr="00AB55F1">
        <w:t>bi</w:t>
      </w:r>
      <w:r w:rsidR="005D2EF8" w:rsidRPr="00AB55F1">
        <w:t xml:space="preserve">variate count model approach. </w:t>
      </w:r>
      <w:r w:rsidR="00E774A5" w:rsidRPr="00AB55F1">
        <w:t xml:space="preserve">In addition, we couple this </w:t>
      </w:r>
      <w:r w:rsidR="0050175B" w:rsidRPr="00AB55F1">
        <w:t>bi</w:t>
      </w:r>
      <w:r w:rsidR="00E774A5" w:rsidRPr="00AB55F1">
        <w:t xml:space="preserve">variate count model with an ordinal </w:t>
      </w:r>
      <w:r w:rsidR="00072225" w:rsidRPr="00AB55F1">
        <w:t>model for telework frequency</w:t>
      </w:r>
      <w:r w:rsidR="0050175B" w:rsidRPr="00AB55F1">
        <w:t xml:space="preserve"> (</w:t>
      </w:r>
      <w:r w:rsidR="00072225" w:rsidRPr="00AB55F1">
        <w:t>to account for the package nature of telework and nonwork stops decisions</w:t>
      </w:r>
      <w:r w:rsidR="0050175B" w:rsidRPr="00AB55F1">
        <w:t>)</w:t>
      </w:r>
      <w:r w:rsidR="005D2EF8" w:rsidRPr="00AB55F1">
        <w:t xml:space="preserve"> using a </w:t>
      </w:r>
      <w:r w:rsidR="0050175B" w:rsidRPr="00AB55F1">
        <w:t xml:space="preserve">joint </w:t>
      </w:r>
      <w:r w:rsidR="005D2EF8" w:rsidRPr="00AB55F1">
        <w:t xml:space="preserve">multivariate ordinal-count model system. </w:t>
      </w:r>
      <w:r w:rsidR="00371782" w:rsidRPr="00AB55F1">
        <w:t xml:space="preserve">Additionally, after accommodating jointness in decision-making, </w:t>
      </w:r>
      <w:r w:rsidR="005D2EF8" w:rsidRPr="00AB55F1">
        <w:t>w</w:t>
      </w:r>
      <w:r w:rsidR="00371782" w:rsidRPr="00AB55F1">
        <w:t>e explicitly recognize the possible presence of both causal directions</w:t>
      </w:r>
      <w:r w:rsidR="0050175B" w:rsidRPr="00AB55F1">
        <w:t xml:space="preserve"> (TN and NT)</w:t>
      </w:r>
      <w:r w:rsidR="00371782" w:rsidRPr="00AB55F1">
        <w:t>, with some individuals having one direction of causality and others the other direction of causality. By using a latent segmentation approach</w:t>
      </w:r>
      <w:r w:rsidR="005D2EF8" w:rsidRPr="00AB55F1">
        <w:t>,</w:t>
      </w:r>
      <w:r w:rsidR="00371782" w:rsidRPr="00AB55F1">
        <w:t xml:space="preserve"> we are able to</w:t>
      </w:r>
      <w:r w:rsidR="005D2EF8" w:rsidRPr="00AB55F1">
        <w:t xml:space="preserve"> estimate </w:t>
      </w:r>
      <w:r w:rsidR="00371782" w:rsidRPr="00AB55F1">
        <w:t xml:space="preserve">the segment size of each direction of causality, as well as characterize the individuals who make decisions based on each direction of causality. </w:t>
      </w:r>
      <w:r w:rsidR="004E2540" w:rsidRPr="00AB55F1">
        <w:t>Finally</w:t>
      </w:r>
      <w:r w:rsidR="00371782" w:rsidRPr="00AB55F1">
        <w:t xml:space="preserve">, we </w:t>
      </w:r>
      <w:r w:rsidR="00DC5F9A" w:rsidRPr="00AB55F1">
        <w:t>propose</w:t>
      </w:r>
      <w:r w:rsidR="00371782" w:rsidRPr="00AB55F1">
        <w:t xml:space="preserve"> a methodology for calculating treatment effects within this innovative model framework and apply it to assess the net impact of telework on the generation of weekly maintenance and leisure </w:t>
      </w:r>
      <w:r w:rsidR="00E96B32" w:rsidRPr="00AB55F1">
        <w:t>stops</w:t>
      </w:r>
      <w:r w:rsidR="00371782" w:rsidRPr="00AB55F1">
        <w:t>.</w:t>
      </w:r>
    </w:p>
    <w:p w14:paraId="21EED3D6" w14:textId="77777777" w:rsidR="00AB55F1" w:rsidRPr="00AB55F1" w:rsidRDefault="00AB55F1" w:rsidP="00AB55F1">
      <w:pPr>
        <w:spacing w:after="0"/>
        <w:ind w:firstLine="720"/>
      </w:pPr>
    </w:p>
    <w:p w14:paraId="2071B18C" w14:textId="45EC69FD" w:rsidR="00823364" w:rsidRPr="00AB55F1" w:rsidRDefault="00823364" w:rsidP="00AB55F1">
      <w:pPr>
        <w:pStyle w:val="Heading1"/>
        <w:spacing w:before="0"/>
      </w:pPr>
      <w:r w:rsidRPr="00AB55F1">
        <w:t>DATA</w:t>
      </w:r>
    </w:p>
    <w:p w14:paraId="44B50992" w14:textId="77777777" w:rsidR="00823364" w:rsidRPr="00AB55F1" w:rsidRDefault="00823364" w:rsidP="00AB55F1">
      <w:pPr>
        <w:pStyle w:val="Heading2"/>
        <w:spacing w:before="0"/>
      </w:pPr>
      <w:r w:rsidRPr="00AB55F1">
        <w:t>The Survey</w:t>
      </w:r>
    </w:p>
    <w:p w14:paraId="703D0B57" w14:textId="274DB5FE" w:rsidR="00823364" w:rsidRPr="00AB55F1" w:rsidRDefault="00823364" w:rsidP="00AB55F1">
      <w:pPr>
        <w:spacing w:after="0"/>
      </w:pPr>
      <w:r w:rsidRPr="00AB55F1">
        <w:t xml:space="preserve">The primary data for the current study is obtained from the Travel Behavior Inventory (TBI) study, deployed </w:t>
      </w:r>
      <w:r w:rsidR="00FB16EA" w:rsidRPr="00AB55F1">
        <w:t xml:space="preserve">between June 2021 and January 2022 </w:t>
      </w:r>
      <w:r w:rsidRPr="00AB55F1">
        <w:t xml:space="preserve">across the greater Twin Cities area in Minnesota, US. The TBI was sponsored by the </w:t>
      </w:r>
      <w:r w:rsidR="00FB16EA" w:rsidRPr="00AB55F1">
        <w:t xml:space="preserve">Minnesota </w:t>
      </w:r>
      <w:r w:rsidRPr="00AB55F1">
        <w:t>Metropolitan Council in partnership with the Minnesota Department of Transportation and the Wisconsin Department of Transportation. The TBI is a two</w:t>
      </w:r>
      <w:r w:rsidR="00ED01CF" w:rsidRPr="00AB55F1">
        <w:t>-</w:t>
      </w:r>
      <w:r w:rsidRPr="00AB55F1">
        <w:t>part survey, including both an online questionnaire to gather individual</w:t>
      </w:r>
      <w:r w:rsidR="00FB16EA" w:rsidRPr="00AB55F1">
        <w:t>/</w:t>
      </w:r>
      <w:r w:rsidRPr="00AB55F1">
        <w:t>household sociodemographics, workplace location habits, and general travel behavior, and a week-long travel diary collected through the rMove app</w:t>
      </w:r>
      <w:r w:rsidR="0006500E" w:rsidRPr="00AB55F1">
        <w:t xml:space="preserve"> (</w:t>
      </w:r>
      <w:r w:rsidR="004128E0" w:rsidRPr="00AB55F1">
        <w:t>Metropolitan Council, 2022</w:t>
      </w:r>
      <w:r w:rsidR="0006500E" w:rsidRPr="00AB55F1">
        <w:t>)</w:t>
      </w:r>
      <w:r w:rsidRPr="00AB55F1">
        <w:t>. In this current study, we consider the weekday travel patterns (Monday through Friday) from the travel diaries of full-time workers. The sample includes 1,922 individuals, who recorded over 20,200 total maintenance and leisure stops</w:t>
      </w:r>
      <w:r w:rsidR="00ED01CF" w:rsidRPr="00AB55F1">
        <w:t xml:space="preserve"> over the course of the week.</w:t>
      </w:r>
      <w:r w:rsidRPr="00AB55F1">
        <w:t xml:space="preserve">  </w:t>
      </w:r>
    </w:p>
    <w:p w14:paraId="70E8F89F" w14:textId="6A5B4644" w:rsidR="00823364" w:rsidRPr="00AB55F1" w:rsidRDefault="00823364" w:rsidP="00AB55F1">
      <w:pPr>
        <w:spacing w:after="0"/>
        <w:ind w:firstLine="720"/>
      </w:pPr>
      <w:r w:rsidRPr="00AB55F1">
        <w:t xml:space="preserve">Telework adoption and intensity information is collected in the survey as an ordinal outcome. The week-long diary enables us to obtain the number of weekday stops for maintenance and leisure purposes separately. We define a stop as the arrival to an outside-of-home destination, different than the trip’s origin, with a purpose other than switching modes of transportation. While there were originally </w:t>
      </w:r>
      <w:r w:rsidR="00D452DA" w:rsidRPr="00AB55F1">
        <w:t>26</w:t>
      </w:r>
      <w:r w:rsidRPr="00AB55F1">
        <w:t xml:space="preserve"> distinct activity purposes for nonwork stops recorded in the TBI travel diary, we grouped nonwork stops into the two main categories of maintenance and leisure. Maintenance stops include those for errands such as grooming, pick-up/drop-off, medical appointments, and shopping. The survey did not distinguish between shopping for groceries and shopping for non-groceries, so all shopping stops are categorized under maintenance activity. Leisure stops include those for exercise outside of the home, eating out, visiting a friend’s home, attending a family activity such as a child’s sports game, a volunteering activity, or participating in a self-labeled social, entertainment, or cultural activity.</w:t>
      </w:r>
      <w:r w:rsidR="000938F1" w:rsidRPr="00AB55F1">
        <w:t xml:space="preserve"> Additional details </w:t>
      </w:r>
      <w:r w:rsidR="00ED01CF" w:rsidRPr="00AB55F1">
        <w:t xml:space="preserve">of the mapping </w:t>
      </w:r>
      <w:r w:rsidR="000938F1" w:rsidRPr="00AB55F1">
        <w:t>of</w:t>
      </w:r>
      <w:r w:rsidR="00ED01CF" w:rsidRPr="00AB55F1">
        <w:t xml:space="preserve"> the </w:t>
      </w:r>
      <w:r w:rsidR="00D452DA" w:rsidRPr="00AB55F1">
        <w:lastRenderedPageBreak/>
        <w:t>26</w:t>
      </w:r>
      <w:r w:rsidR="00ED01CF" w:rsidRPr="00AB55F1">
        <w:t xml:space="preserve"> distinct activity purposes </w:t>
      </w:r>
      <w:r w:rsidR="000938F1" w:rsidRPr="00AB55F1">
        <w:t xml:space="preserve">into the two categories of maintenance and leisure are provided in Appendix A. </w:t>
      </w:r>
    </w:p>
    <w:p w14:paraId="05E6AF3B" w14:textId="77777777" w:rsidR="00AB55F1" w:rsidRPr="00AB55F1" w:rsidRDefault="00823364" w:rsidP="00AB55F1">
      <w:pPr>
        <w:spacing w:after="0"/>
        <w:ind w:firstLine="720"/>
      </w:pPr>
      <w:r w:rsidRPr="00AB55F1">
        <w:t>A host of exogenous variables are considered, including (a) sociodemographic characteristics (age, gender, income, education level, race/ethnicity, and family lifecycle stage), (b) work-related attributes (including distance between residence and workplace, and typical daily work duration), (c) dwelling unit attributes (such as housing tenure and single home versus apartment living), and (d) built environment variables characterizing the residence, outside-of-home workplace, and accessibility to nonwork destinations.</w:t>
      </w:r>
      <w:r w:rsidR="000938F1" w:rsidRPr="00AB55F1">
        <w:t xml:space="preserve"> As already indicated, moderation effects of these variables on the causal effect of one main outcome on another are also considered.</w:t>
      </w:r>
    </w:p>
    <w:p w14:paraId="3496DAE2" w14:textId="6241805F" w:rsidR="00823364" w:rsidRPr="00AB55F1" w:rsidRDefault="000938F1" w:rsidP="00AB55F1">
      <w:pPr>
        <w:spacing w:after="0"/>
        <w:ind w:firstLine="720"/>
      </w:pPr>
      <w:r w:rsidRPr="00AB55F1">
        <w:t xml:space="preserve"> </w:t>
      </w:r>
    </w:p>
    <w:p w14:paraId="1A57D1F7" w14:textId="77777777" w:rsidR="00823364" w:rsidRPr="00AB55F1" w:rsidRDefault="00823364" w:rsidP="00AB55F1">
      <w:pPr>
        <w:pStyle w:val="Heading2"/>
        <w:spacing w:before="0"/>
      </w:pPr>
      <w:r w:rsidRPr="00AB55F1">
        <w:t>Data Description</w:t>
      </w:r>
    </w:p>
    <w:p w14:paraId="361EBD9C" w14:textId="2BB97B1E" w:rsidR="00823364" w:rsidRPr="00AB55F1" w:rsidRDefault="00823364" w:rsidP="00AB55F1">
      <w:pPr>
        <w:spacing w:after="0"/>
      </w:pPr>
      <w:r w:rsidRPr="00AB55F1">
        <w:t>Table 1 provides information on the individual and household characteristics of the 1,</w:t>
      </w:r>
      <w:r w:rsidR="00CB4645" w:rsidRPr="00AB55F1">
        <w:t xml:space="preserve">920 </w:t>
      </w:r>
      <w:r w:rsidRPr="00AB55F1">
        <w:t>individuals used in our study. The sample is exclusively comprised of individuals who are employed on a full-time basis and either reside or work within the broader Twin Cities region in Minnesota, US. This demographic can be compared with gender, age, and income data from the Census Bureau's five-year American Community Survey (ACS) from 2022, though it is important to note that the</w:t>
      </w:r>
      <w:r w:rsidR="000938F1" w:rsidRPr="00AB55F1">
        <w:t xml:space="preserve"> ACS</w:t>
      </w:r>
      <w:r w:rsidRPr="00AB55F1">
        <w:t xml:space="preserve"> statistics encompass all workers, w</w:t>
      </w:r>
      <w:r w:rsidR="000938F1" w:rsidRPr="00AB55F1">
        <w:t xml:space="preserve">hile </w:t>
      </w:r>
      <w:r w:rsidRPr="00AB55F1">
        <w:t>our sample exclusively consists of full-time employees. Specifically, we conducted a comparison with ACS data for the 11 counties in the Twin City area, including Anoka, Carver, Chisago, Dakota, Hennepin, Isanti, Ramsey, Scott, Sherburne, Washington, and Wright. While the ACS offers Twin City worker-specific data on formal education level, presence of children (by age), and occupation split, it categorizes them differently than our survey, preventing a direct comparison of these descriptive statistics with those from our sample.</w:t>
      </w:r>
    </w:p>
    <w:p w14:paraId="4FA732D2" w14:textId="31288DB0" w:rsidR="00823364" w:rsidRPr="00AB55F1" w:rsidRDefault="005B6CC4" w:rsidP="00AB55F1">
      <w:pPr>
        <w:spacing w:after="0"/>
        <w:ind w:firstLine="720"/>
      </w:pPr>
      <w:r w:rsidRPr="00AB55F1">
        <w:t>T</w:t>
      </w:r>
      <w:r w:rsidR="00823364" w:rsidRPr="00AB55F1">
        <w:t>he comparison with the ACS data</w:t>
      </w:r>
      <w:r w:rsidRPr="00AB55F1">
        <w:t xml:space="preserve"> </w:t>
      </w:r>
      <w:r w:rsidR="00823364" w:rsidRPr="00AB55F1">
        <w:t xml:space="preserve">shows that our sample exhibits a </w:t>
      </w:r>
      <w:r w:rsidR="007C64F7" w:rsidRPr="00AB55F1">
        <w:t>slightly higher</w:t>
      </w:r>
      <w:r w:rsidR="00823364" w:rsidRPr="00AB55F1">
        <w:t xml:space="preserve"> proportion of women</w:t>
      </w:r>
      <w:r w:rsidR="0039755C" w:rsidRPr="00AB55F1">
        <w:t xml:space="preserve"> in the workforce</w:t>
      </w:r>
      <w:r w:rsidR="00823364" w:rsidRPr="00AB55F1">
        <w:t xml:space="preserve">, </w:t>
      </w:r>
      <w:r w:rsidR="007C64F7" w:rsidRPr="00AB55F1">
        <w:t xml:space="preserve">and lower shares of </w:t>
      </w:r>
      <w:r w:rsidR="00823364" w:rsidRPr="00AB55F1">
        <w:t xml:space="preserve">those aged 18 to 24 years and those with a household annual income in the range of up to $50K, relative to the Twin City region working population (U.S. Census Bureau, 2023). </w:t>
      </w:r>
      <w:r w:rsidRPr="00AB55F1">
        <w:t>The age and income differences, in part, may be attributed to the differen</w:t>
      </w:r>
      <w:r w:rsidR="00FB16EA" w:rsidRPr="00AB55F1">
        <w:t>ce</w:t>
      </w:r>
      <w:r w:rsidRPr="00AB55F1">
        <w:t xml:space="preserve"> between full-time workers (our sample) and all workers (the ACS data). </w:t>
      </w:r>
      <w:r w:rsidR="00823364" w:rsidRPr="00AB55F1">
        <w:t xml:space="preserve">In terms of residential attributes, </w:t>
      </w:r>
      <w:r w:rsidR="00441ED6" w:rsidRPr="00AB55F1">
        <w:t xml:space="preserve">respondents identified the zip code of their home, which was used to link built environment variables and compute density as the ratio of number of people housed to unprotected acreage. Based on Ramsey and Bell (2014), zip codes with an employment density less than 5.5 persons per unprotected acre of land are classified as low density or a rural neighborhood density type, while those with 12.6 or more persons per unprotected acre of land are classified as high density, or urban. All other zip codes are classified as medium density or suburban. As may be observed from Table 1, </w:t>
      </w:r>
      <w:r w:rsidR="00823364" w:rsidRPr="00AB55F1">
        <w:t xml:space="preserve">a little over one-third of sample respondents reside in an urban area and a similar percentage reside in a rural area, while a </w:t>
      </w:r>
      <w:r w:rsidR="00D43B84" w:rsidRPr="00AB55F1">
        <w:t xml:space="preserve">minority </w:t>
      </w:r>
      <w:r w:rsidR="00823364" w:rsidRPr="00AB55F1">
        <w:t>(</w:t>
      </w:r>
      <w:r w:rsidR="00D43B84" w:rsidRPr="00AB55F1">
        <w:t>26.5</w:t>
      </w:r>
      <w:r w:rsidR="00823364" w:rsidRPr="00AB55F1">
        <w:t xml:space="preserve">%) reside in suburban areas. </w:t>
      </w:r>
      <w:r w:rsidR="00441ED6" w:rsidRPr="00AB55F1">
        <w:t xml:space="preserve">Most sample respondents also report owning their home. </w:t>
      </w:r>
    </w:p>
    <w:p w14:paraId="5C5572E9" w14:textId="7DDD216D" w:rsidR="00823364" w:rsidRPr="00AB55F1" w:rsidRDefault="00823364" w:rsidP="00AB55F1">
      <w:pPr>
        <w:spacing w:after="0"/>
        <w:ind w:firstLine="720"/>
      </w:pPr>
      <w:r w:rsidRPr="00AB55F1">
        <w:t xml:space="preserve">As indicated earlier, we are unable to compare many demographic/residential attributes with the population characteristics of full-time Twin City workers. However, we are able to examine the representativeness of our sample on work characteristics by comparing with the </w:t>
      </w:r>
      <w:r w:rsidR="00FC4C26" w:rsidRPr="00AB55F1">
        <w:t xml:space="preserve">2022 </w:t>
      </w:r>
      <w:r w:rsidR="00ED1347" w:rsidRPr="00AB55F1">
        <w:t xml:space="preserve">National Household Travel Survey (NHTS) data specifically for the Twin City Region </w:t>
      </w:r>
      <w:r w:rsidRPr="00AB55F1">
        <w:t>(</w:t>
      </w:r>
      <w:r w:rsidR="00ED1347" w:rsidRPr="00AB55F1">
        <w:t>Federal Highway Administration</w:t>
      </w:r>
      <w:r w:rsidRPr="00AB55F1">
        <w:t xml:space="preserve">, </w:t>
      </w:r>
      <w:r w:rsidR="00ED1347" w:rsidRPr="00AB55F1">
        <w:t>2022</w:t>
      </w:r>
      <w:r w:rsidRPr="00AB55F1">
        <w:t>), though</w:t>
      </w:r>
      <w:r w:rsidR="00015B0B" w:rsidRPr="00AB55F1">
        <w:t>,</w:t>
      </w:r>
      <w:r w:rsidRPr="00AB55F1">
        <w:t xml:space="preserve"> once again, the</w:t>
      </w:r>
      <w:r w:rsidR="00D7001B" w:rsidRPr="00AB55F1">
        <w:t xml:space="preserve"> </w:t>
      </w:r>
      <w:r w:rsidR="00ED1347" w:rsidRPr="00AB55F1">
        <w:t>NHTS</w:t>
      </w:r>
      <w:r w:rsidR="00D7001B" w:rsidRPr="00AB55F1">
        <w:t xml:space="preserve"> data </w:t>
      </w:r>
      <w:r w:rsidRPr="00AB55F1">
        <w:t>provide</w:t>
      </w:r>
      <w:r w:rsidR="00D7001B" w:rsidRPr="00AB55F1">
        <w:t>s</w:t>
      </w:r>
      <w:r w:rsidRPr="00AB55F1">
        <w:t xml:space="preserve"> statistics </w:t>
      </w:r>
      <w:r w:rsidR="00D7001B" w:rsidRPr="00AB55F1">
        <w:t xml:space="preserve">only </w:t>
      </w:r>
      <w:r w:rsidRPr="00AB55F1">
        <w:t xml:space="preserve">for </w:t>
      </w:r>
      <w:r w:rsidR="005B6CC4" w:rsidRPr="00AB55F1">
        <w:t xml:space="preserve">the combined set of </w:t>
      </w:r>
      <w:r w:rsidRPr="00AB55F1">
        <w:t xml:space="preserve">full and part time workers. In terms of commute time, the </w:t>
      </w:r>
      <w:r w:rsidR="00015B0B" w:rsidRPr="00AB55F1">
        <w:t xml:space="preserve">NHTS data </w:t>
      </w:r>
      <w:r w:rsidRPr="00AB55F1">
        <w:t>shows an average</w:t>
      </w:r>
      <w:r w:rsidR="00015B0B" w:rsidRPr="00AB55F1">
        <w:t xml:space="preserve"> </w:t>
      </w:r>
      <w:r w:rsidRPr="00AB55F1">
        <w:t xml:space="preserve">of 25.2 minutes, </w:t>
      </w:r>
      <w:r w:rsidR="00015B0B" w:rsidRPr="00AB55F1">
        <w:t xml:space="preserve">while </w:t>
      </w:r>
      <w:r w:rsidRPr="00AB55F1">
        <w:t xml:space="preserve">our sample indicates a slightly shorter average of 24.3 minutes, demonstrating a relatively close alignment. Moreover, </w:t>
      </w:r>
      <w:r w:rsidR="007C64F7" w:rsidRPr="00AB55F1">
        <w:t xml:space="preserve">according to the NHTS data,  </w:t>
      </w:r>
      <w:r w:rsidRPr="00AB55F1">
        <w:t xml:space="preserve">75.0% of </w:t>
      </w:r>
      <w:r w:rsidRPr="00AB55F1">
        <w:lastRenderedPageBreak/>
        <w:t xml:space="preserve">employees </w:t>
      </w:r>
      <w:r w:rsidR="007C64F7" w:rsidRPr="00AB55F1">
        <w:t>have</w:t>
      </w:r>
      <w:r w:rsidRPr="00AB55F1">
        <w:t xml:space="preserve"> a commute time exceeding 15 minutes</w:t>
      </w:r>
      <w:r w:rsidR="007C64F7" w:rsidRPr="00AB55F1">
        <w:t xml:space="preserve">. Our sample </w:t>
      </w:r>
      <w:r w:rsidRPr="00AB55F1">
        <w:t xml:space="preserve"> closely mirrors this pattern with 74.1% of employees reporting </w:t>
      </w:r>
      <w:r w:rsidR="00015B0B" w:rsidRPr="00AB55F1">
        <w:t xml:space="preserve">a </w:t>
      </w:r>
      <w:r w:rsidRPr="00AB55F1">
        <w:t>commute duration</w:t>
      </w:r>
      <w:r w:rsidR="00015B0B" w:rsidRPr="00AB55F1">
        <w:t xml:space="preserve"> exceeding 15 minutes</w:t>
      </w:r>
      <w:r w:rsidR="00FC4C26" w:rsidRPr="00AB55F1">
        <w:t>.</w:t>
      </w:r>
    </w:p>
    <w:p w14:paraId="27585F3D" w14:textId="77777777" w:rsidR="00AB55F1" w:rsidRPr="00AB55F1" w:rsidRDefault="00AB55F1" w:rsidP="00AB55F1">
      <w:pPr>
        <w:spacing w:after="0"/>
        <w:ind w:firstLine="720"/>
      </w:pPr>
    </w:p>
    <w:p w14:paraId="55263F91" w14:textId="0B308C62" w:rsidR="00823364" w:rsidRPr="00AB55F1" w:rsidRDefault="00C34F34" w:rsidP="00AB55F1">
      <w:pPr>
        <w:pStyle w:val="Heading2"/>
        <w:spacing w:before="0"/>
      </w:pPr>
      <w:r w:rsidRPr="00AB55F1">
        <w:t xml:space="preserve">Description of </w:t>
      </w:r>
      <w:r w:rsidR="00823364" w:rsidRPr="00AB55F1">
        <w:t>Main Outcome</w:t>
      </w:r>
      <w:r w:rsidRPr="00AB55F1">
        <w:t>s</w:t>
      </w:r>
    </w:p>
    <w:p w14:paraId="37617F3C" w14:textId="55A2FB50" w:rsidR="00823364" w:rsidRPr="00AB55F1" w:rsidRDefault="00823364" w:rsidP="00AB55F1">
      <w:pPr>
        <w:spacing w:after="0"/>
      </w:pPr>
      <w:r w:rsidRPr="00AB55F1">
        <w:t>There are three main outcome</w:t>
      </w:r>
      <w:r w:rsidR="00C34F34" w:rsidRPr="00AB55F1">
        <w:t xml:space="preserve">s </w:t>
      </w:r>
      <w:r w:rsidRPr="00AB55F1">
        <w:t>in this study. The first outcome relate</w:t>
      </w:r>
      <w:r w:rsidR="00075DA3" w:rsidRPr="00AB55F1">
        <w:t>s</w:t>
      </w:r>
      <w:r w:rsidRPr="00AB55F1">
        <w:t xml:space="preserve"> to teleworking frequency</w:t>
      </w:r>
      <w:r w:rsidR="00295547" w:rsidRPr="00AB55F1">
        <w:t xml:space="preserve">, </w:t>
      </w:r>
      <w:r w:rsidRPr="00AB55F1">
        <w:t xml:space="preserve">and the second and third </w:t>
      </w:r>
      <w:r w:rsidR="00075DA3" w:rsidRPr="00AB55F1">
        <w:t xml:space="preserve">correspond to the </w:t>
      </w:r>
      <w:r w:rsidRPr="00AB55F1">
        <w:t>number of</w:t>
      </w:r>
      <w:r w:rsidR="00295547" w:rsidRPr="00AB55F1">
        <w:t xml:space="preserve"> </w:t>
      </w:r>
      <w:r w:rsidRPr="00AB55F1">
        <w:t xml:space="preserve">maintenance and leisure </w:t>
      </w:r>
      <w:r w:rsidR="00075DA3" w:rsidRPr="00AB55F1">
        <w:t>stop</w:t>
      </w:r>
      <w:r w:rsidR="00295547" w:rsidRPr="00AB55F1">
        <w:t>s across all weekdays in the survey week</w:t>
      </w:r>
      <w:r w:rsidRPr="00AB55F1">
        <w:t xml:space="preserve">. </w:t>
      </w:r>
      <w:r w:rsidR="00260F8D" w:rsidRPr="00AB55F1">
        <w:t xml:space="preserve">While we can compare the binary distinction of being a full-time teleworker or not within our sample to the variable measured by the ACS in the Twin City region, we lack good information to compare the outcomes of teleworking frequency (at a more granular level) from our survey with the conditions on the ground in 2021 and 2022. </w:t>
      </w:r>
      <w:r w:rsidR="00075DA3" w:rsidRPr="00AB55F1">
        <w:t xml:space="preserve">Also, the ACS and </w:t>
      </w:r>
      <w:r w:rsidR="00ED1347" w:rsidRPr="00AB55F1">
        <w:t>NHTS</w:t>
      </w:r>
      <w:r w:rsidRPr="00AB55F1">
        <w:t xml:space="preserve"> </w:t>
      </w:r>
      <w:r w:rsidR="00075DA3" w:rsidRPr="00AB55F1">
        <w:t xml:space="preserve">data sets are based on one-day statistics of activity-travel (including both weekday and weekend days), and so the weekday counts of maintenance and leisure stops from our sample are not comparable to these other data sources. </w:t>
      </w:r>
      <w:r w:rsidRPr="00AB55F1">
        <w:t xml:space="preserve"> </w:t>
      </w:r>
    </w:p>
    <w:p w14:paraId="028687D5" w14:textId="65B22B9E" w:rsidR="005F6662" w:rsidRPr="00AB55F1" w:rsidRDefault="00823364" w:rsidP="00AB55F1">
      <w:pPr>
        <w:spacing w:after="0"/>
        <w:ind w:firstLine="720"/>
      </w:pPr>
      <w:r w:rsidRPr="00AB55F1">
        <w:t xml:space="preserve">The telework </w:t>
      </w:r>
      <w:r w:rsidR="00075DA3" w:rsidRPr="00AB55F1">
        <w:t>frequency</w:t>
      </w:r>
      <w:r w:rsidRPr="00AB55F1">
        <w:t xml:space="preserve"> (T</w:t>
      </w:r>
      <w:r w:rsidR="00075DA3" w:rsidRPr="00AB55F1">
        <w:t>F</w:t>
      </w:r>
      <w:r w:rsidRPr="00AB55F1">
        <w:t>)</w:t>
      </w:r>
      <w:r w:rsidR="00772F6F" w:rsidRPr="00AB55F1">
        <w:t xml:space="preserve"> outcome</w:t>
      </w:r>
      <w:r w:rsidRPr="00AB55F1">
        <w:t xml:space="preserve"> takes the form of an ordinal</w:t>
      </w:r>
      <w:r w:rsidR="00772F6F" w:rsidRPr="00AB55F1">
        <w:t xml:space="preserve"> variable</w:t>
      </w:r>
      <w:r w:rsidR="00075DA3" w:rsidRPr="00AB55F1">
        <w:t>. Specifically, t</w:t>
      </w:r>
      <w:r w:rsidRPr="00AB55F1">
        <w:t xml:space="preserve">he survey asked respondents to </w:t>
      </w:r>
      <w:r w:rsidR="00075DA3" w:rsidRPr="00AB55F1">
        <w:t>report</w:t>
      </w:r>
      <w:r w:rsidRPr="00AB55F1">
        <w:t xml:space="preserve"> their T</w:t>
      </w:r>
      <w:r w:rsidR="00075DA3" w:rsidRPr="00AB55F1">
        <w:t>F</w:t>
      </w:r>
      <w:r w:rsidRPr="00AB55F1">
        <w:t xml:space="preserve"> </w:t>
      </w:r>
      <w:r w:rsidR="00075DA3" w:rsidRPr="00AB55F1">
        <w:t xml:space="preserve">in one of the </w:t>
      </w:r>
      <w:r w:rsidRPr="00AB55F1">
        <w:t xml:space="preserve">nine </w:t>
      </w:r>
      <w:r w:rsidR="00075DA3" w:rsidRPr="00AB55F1">
        <w:t xml:space="preserve">ordinal categories </w:t>
      </w:r>
      <w:r w:rsidRPr="00AB55F1">
        <w:t xml:space="preserve">of “Never”, “Less than monthly”, “1-3 days a month”, “1 day every </w:t>
      </w:r>
      <w:r w:rsidR="00772F6F" w:rsidRPr="00AB55F1">
        <w:t>two</w:t>
      </w:r>
      <w:r w:rsidRPr="00AB55F1">
        <w:t xml:space="preserve"> weeks”, “1 day a week”, “2 to 3 days a week”, “4 days a week”, “5 days a week”, and “6-7 days a week”. Due to the limited number of responses in the final category (</w:t>
      </w:r>
      <w:r w:rsidR="00E627DF" w:rsidRPr="00AB55F1">
        <w:t>1.0</w:t>
      </w:r>
      <w:r w:rsidRPr="00AB55F1">
        <w:t>%), we merge</w:t>
      </w:r>
      <w:r w:rsidR="00C34F34" w:rsidRPr="00AB55F1">
        <w:t>d</w:t>
      </w:r>
      <w:r w:rsidRPr="00AB55F1">
        <w:t xml:space="preserve"> this </w:t>
      </w:r>
      <w:r w:rsidR="00C34F34" w:rsidRPr="00AB55F1">
        <w:t xml:space="preserve">last ordered </w:t>
      </w:r>
      <w:r w:rsidRPr="00AB55F1">
        <w:t xml:space="preserve">alternative with </w:t>
      </w:r>
      <w:r w:rsidR="00637E4A" w:rsidRPr="00AB55F1">
        <w:t xml:space="preserve">the </w:t>
      </w:r>
      <w:r w:rsidRPr="00AB55F1">
        <w:t>preceding one to develop the telework frequency category labeled “≥ 5 days a week”</w:t>
      </w:r>
      <w:r w:rsidR="00C34F34" w:rsidRPr="00AB55F1">
        <w:t xml:space="preserve"> (</w:t>
      </w:r>
      <w:r w:rsidR="00637E4A" w:rsidRPr="00AB55F1">
        <w:t>which implies that employees in this category teleworked on all weekdays of their work week</w:t>
      </w:r>
      <w:r w:rsidR="00C34F34" w:rsidRPr="00AB55F1">
        <w:t>)</w:t>
      </w:r>
      <w:r w:rsidRPr="00AB55F1">
        <w:t xml:space="preserve">.  </w:t>
      </w:r>
      <w:r w:rsidR="00772F6F" w:rsidRPr="00AB55F1">
        <w:t>Further, because the “1-3 days a month” and “1 day every two weeks” categories clearly overlap</w:t>
      </w:r>
      <w:r w:rsidR="00C34F34" w:rsidRPr="00AB55F1">
        <w:t xml:space="preserve"> (an obvious </w:t>
      </w:r>
      <w:r w:rsidR="00603660" w:rsidRPr="00AB55F1">
        <w:t>oversight</w:t>
      </w:r>
      <w:r w:rsidR="00C34F34" w:rsidRPr="00AB55F1">
        <w:t xml:space="preserve"> in survey</w:t>
      </w:r>
      <w:r w:rsidR="00603660" w:rsidRPr="00AB55F1">
        <w:t xml:space="preserve"> design</w:t>
      </w:r>
      <w:r w:rsidR="00C34F34" w:rsidRPr="00AB55F1">
        <w:t>)</w:t>
      </w:r>
      <w:r w:rsidR="00772F6F" w:rsidRPr="00AB55F1">
        <w:t>, we collapse</w:t>
      </w:r>
      <w:r w:rsidR="00C34F34" w:rsidRPr="00AB55F1">
        <w:t>d</w:t>
      </w:r>
      <w:r w:rsidR="00772F6F" w:rsidRPr="00AB55F1">
        <w:t xml:space="preserve"> these two into a single “1-3 days a month” category. </w:t>
      </w:r>
      <w:r w:rsidRPr="00AB55F1">
        <w:t xml:space="preserve">The first numerical column of Table 2 presents the sample split across the </w:t>
      </w:r>
      <w:r w:rsidR="00772F6F" w:rsidRPr="00AB55F1">
        <w:t>seven</w:t>
      </w:r>
      <w:r w:rsidRPr="00AB55F1">
        <w:t xml:space="preserve"> T</w:t>
      </w:r>
      <w:r w:rsidR="00637E4A" w:rsidRPr="00AB55F1">
        <w:t>F</w:t>
      </w:r>
      <w:r w:rsidRPr="00AB55F1">
        <w:t xml:space="preserve"> categories. A little less than half (45.</w:t>
      </w:r>
      <w:r w:rsidR="00FE0D98" w:rsidRPr="00AB55F1">
        <w:t>6</w:t>
      </w:r>
      <w:r w:rsidRPr="00AB55F1">
        <w:t>%) of the full-time employees never telework, while 13.8% telework all days of their work week. Th</w:t>
      </w:r>
      <w:r w:rsidR="00637E4A" w:rsidRPr="00AB55F1">
        <w:t xml:space="preserve">is latter percentage </w:t>
      </w:r>
      <w:r w:rsidRPr="00AB55F1">
        <w:t xml:space="preserve">closely mirrors the </w:t>
      </w:r>
      <w:r w:rsidR="00637E4A" w:rsidRPr="00AB55F1">
        <w:t xml:space="preserve">13.7% </w:t>
      </w:r>
      <w:r w:rsidRPr="00AB55F1">
        <w:t xml:space="preserve">percentage of workers </w:t>
      </w:r>
      <w:r w:rsidR="00637E4A" w:rsidRPr="00AB55F1">
        <w:t xml:space="preserve">who </w:t>
      </w:r>
      <w:r w:rsidR="00C34F34" w:rsidRPr="00AB55F1">
        <w:t>tele</w:t>
      </w:r>
      <w:r w:rsidR="00637E4A" w:rsidRPr="00AB55F1">
        <w:t xml:space="preserve">work all days of the week, as </w:t>
      </w:r>
      <w:r w:rsidRPr="00AB55F1">
        <w:t>documented in the 2022 ACS report for the Twin City region of Minnesota</w:t>
      </w:r>
      <w:r w:rsidR="00637E4A" w:rsidRPr="00AB55F1">
        <w:t>.</w:t>
      </w:r>
      <w:r w:rsidRPr="00AB55F1">
        <w:t xml:space="preserve"> Finally, in our sample, </w:t>
      </w:r>
      <w:r w:rsidR="00E627DF" w:rsidRPr="00AB55F1">
        <w:t>40</w:t>
      </w:r>
      <w:r w:rsidRPr="00AB55F1">
        <w:t>.</w:t>
      </w:r>
      <w:r w:rsidR="00E627DF" w:rsidRPr="00AB55F1">
        <w:t>2</w:t>
      </w:r>
      <w:r w:rsidRPr="00AB55F1">
        <w:t>% of full-time employees telework at least once a week</w:t>
      </w:r>
      <w:r w:rsidR="00E627DF" w:rsidRPr="00AB55F1">
        <w:t xml:space="preserve">, </w:t>
      </w:r>
      <w:r w:rsidRPr="00AB55F1">
        <w:t>while 14.</w:t>
      </w:r>
      <w:r w:rsidR="00E627DF" w:rsidRPr="00AB55F1">
        <w:t>2</w:t>
      </w:r>
      <w:r w:rsidRPr="00AB55F1">
        <w:t>% telework at an intensity level that is less than once a week. There are no ACS statistic</w:t>
      </w:r>
      <w:r w:rsidR="00637E4A" w:rsidRPr="00AB55F1">
        <w:t>s</w:t>
      </w:r>
      <w:r w:rsidRPr="00AB55F1">
        <w:t xml:space="preserve"> comparable to these T</w:t>
      </w:r>
      <w:r w:rsidR="00637E4A" w:rsidRPr="00AB55F1">
        <w:t>F</w:t>
      </w:r>
      <w:r w:rsidRPr="00AB55F1">
        <w:t xml:space="preserve"> splits for the Twin City region.</w:t>
      </w:r>
      <w:r w:rsidR="00B51105" w:rsidRPr="00AB55F1">
        <w:t xml:space="preserve"> </w:t>
      </w:r>
    </w:p>
    <w:p w14:paraId="730BBB88" w14:textId="0F28EE1A" w:rsidR="002A305D" w:rsidRPr="00AB55F1" w:rsidRDefault="00823364" w:rsidP="00AB55F1">
      <w:pPr>
        <w:spacing w:after="0"/>
        <w:ind w:firstLine="720"/>
      </w:pPr>
      <w:r w:rsidRPr="00AB55F1">
        <w:t>The second and third outcome variables</w:t>
      </w:r>
      <w:r w:rsidR="00D93285" w:rsidRPr="00AB55F1">
        <w:t xml:space="preserve"> correspond to </w:t>
      </w:r>
      <w:r w:rsidRPr="00AB55F1">
        <w:t xml:space="preserve">the count of maintenance stops and the count of leisure stops </w:t>
      </w:r>
      <w:r w:rsidR="00772F6F" w:rsidRPr="00AB55F1">
        <w:t>across all weekdays (for ease, we will refer to these a</w:t>
      </w:r>
      <w:r w:rsidR="00055382" w:rsidRPr="00AB55F1">
        <w:t>s</w:t>
      </w:r>
      <w:r w:rsidR="00772F6F" w:rsidRPr="00AB55F1">
        <w:t xml:space="preserve"> weekly maintenance and weekly leisure stops, with the understanding that the reference is to stops across all weekdays</w:t>
      </w:r>
      <w:r w:rsidR="00D93285" w:rsidRPr="00AB55F1">
        <w:t xml:space="preserve"> within the week</w:t>
      </w:r>
      <w:r w:rsidR="00772F6F" w:rsidRPr="00AB55F1">
        <w:t xml:space="preserve">). </w:t>
      </w:r>
      <w:r w:rsidRPr="00AB55F1">
        <w:t xml:space="preserve">Both these </w:t>
      </w:r>
      <w:r w:rsidR="002A305D" w:rsidRPr="00AB55F1">
        <w:t>outcomes</w:t>
      </w:r>
      <w:r w:rsidRPr="00AB55F1">
        <w:t xml:space="preserve"> are represented as count</w:t>
      </w:r>
      <w:r w:rsidR="002A305D" w:rsidRPr="00AB55F1">
        <w:t>s</w:t>
      </w:r>
      <w:r w:rsidRPr="00AB55F1">
        <w:t xml:space="preserve"> </w:t>
      </w:r>
      <w:r w:rsidR="00D93285" w:rsidRPr="00AB55F1">
        <w:t xml:space="preserve">in </w:t>
      </w:r>
      <w:r w:rsidRPr="00AB55F1">
        <w:t xml:space="preserve">our </w:t>
      </w:r>
      <w:r w:rsidR="00D93285" w:rsidRPr="00AB55F1">
        <w:t xml:space="preserve">analysis </w:t>
      </w:r>
      <w:r w:rsidRPr="00AB55F1">
        <w:t xml:space="preserve">framework. </w:t>
      </w:r>
      <w:r w:rsidR="002A305D" w:rsidRPr="00AB55F1">
        <w:t xml:space="preserve">For both these outcomes, </w:t>
      </w:r>
      <w:r w:rsidR="006846DE" w:rsidRPr="00AB55F1">
        <w:t>the count values ranged effectively from 0 to 15, with only about 2-3% of individuals reporting more than 15 stops for each of the two nonwork activity purposes. S</w:t>
      </w:r>
      <w:r w:rsidR="002A305D" w:rsidRPr="00AB55F1">
        <w:t>o we truncated the maximum number of stops in our count models to 15.</w:t>
      </w:r>
      <w:r w:rsidR="00C766E4" w:rsidRPr="00AB55F1">
        <w:t xml:space="preserve"> </w:t>
      </w:r>
      <w:r w:rsidR="00DE6E0D" w:rsidRPr="00AB55F1">
        <w:t xml:space="preserve">Table 2 presents the associative relationship of nonwork stops as a function of telework frequency in the spirit of a possible TN causal relationship. </w:t>
      </w:r>
      <w:r w:rsidR="00C766E4" w:rsidRPr="00AB55F1">
        <w:t xml:space="preserve">The second and third numeric columns of Table 2 indicate the highest maintenance and leisure stops being associated with those who telework “a few days a month”. </w:t>
      </w:r>
      <w:r w:rsidR="00DE6E0D" w:rsidRPr="00AB55F1">
        <w:t>Besides this observation, n</w:t>
      </w:r>
      <w:r w:rsidR="00C766E4" w:rsidRPr="00AB55F1">
        <w:t xml:space="preserve">o clear pattern </w:t>
      </w:r>
      <w:r w:rsidR="00E65C99" w:rsidRPr="00AB55F1">
        <w:t xml:space="preserve">of relationship between TF and maintenance/leisure stop-making </w:t>
      </w:r>
      <w:r w:rsidR="00C766E4" w:rsidRPr="00AB55F1">
        <w:t xml:space="preserve">is discernible from these statistics, because they </w:t>
      </w:r>
      <w:r w:rsidR="00E65C99" w:rsidRPr="00AB55F1">
        <w:t xml:space="preserve">(1) are </w:t>
      </w:r>
      <w:r w:rsidR="00C766E4" w:rsidRPr="00AB55F1">
        <w:t>aggregate</w:t>
      </w:r>
      <w:r w:rsidR="00E65C99" w:rsidRPr="00AB55F1">
        <w:t xml:space="preserve"> statistics that </w:t>
      </w:r>
      <w:r w:rsidR="00C766E4" w:rsidRPr="00AB55F1">
        <w:t>do not account f</w:t>
      </w:r>
      <w:r w:rsidR="00E65C99" w:rsidRPr="00AB55F1">
        <w:t>o</w:t>
      </w:r>
      <w:r w:rsidR="00C766E4" w:rsidRPr="00AB55F1">
        <w:t xml:space="preserve">r heterogeneity across individuals, and </w:t>
      </w:r>
      <w:r w:rsidR="00E65C99" w:rsidRPr="00AB55F1">
        <w:t xml:space="preserve">(2) </w:t>
      </w:r>
      <w:r w:rsidR="00C766E4" w:rsidRPr="00AB55F1">
        <w:t xml:space="preserve">comingle different directions of effects between TF and nonwork stops. </w:t>
      </w:r>
      <w:r w:rsidR="00E65C99" w:rsidRPr="00AB55F1">
        <w:t xml:space="preserve">The last row of Table 2 indicates a generally higher number of leisure stops in the week relative to maintenance stops (which also holds at every telework level). This is not surprising, given that maintenance stops tend to be scheduled from a time efficient utilitarian perspective, while leisure stops have more of </w:t>
      </w:r>
      <w:r w:rsidR="00F944E4" w:rsidRPr="00AB55F1">
        <w:t>eudemonic</w:t>
      </w:r>
      <w:r w:rsidR="00E65C99" w:rsidRPr="00AB55F1">
        <w:t xml:space="preserve"> touch to them. </w:t>
      </w:r>
    </w:p>
    <w:p w14:paraId="20C86952" w14:textId="258185B6" w:rsidR="000D0BAC" w:rsidRPr="00AB55F1" w:rsidRDefault="00BF6479" w:rsidP="00E84B6A">
      <w:pPr>
        <w:spacing w:after="0"/>
        <w:ind w:firstLine="720"/>
      </w:pPr>
      <w:r w:rsidRPr="00AB55F1">
        <w:lastRenderedPageBreak/>
        <w:t>Table 3</w:t>
      </w:r>
      <w:r w:rsidR="00C766E4" w:rsidRPr="00AB55F1">
        <w:t xml:space="preserve"> </w:t>
      </w:r>
      <w:r w:rsidR="00B71096" w:rsidRPr="00AB55F1">
        <w:t xml:space="preserve">examines the same </w:t>
      </w:r>
      <w:r w:rsidR="00DE6E0D" w:rsidRPr="00AB55F1">
        <w:t xml:space="preserve">associative </w:t>
      </w:r>
      <w:r w:rsidR="00B71096" w:rsidRPr="00AB55F1">
        <w:t>relationship in rever</w:t>
      </w:r>
      <w:r w:rsidR="00C766E4" w:rsidRPr="00AB55F1">
        <w:t>s</w:t>
      </w:r>
      <w:r w:rsidR="00B71096" w:rsidRPr="00AB55F1">
        <w:t>e</w:t>
      </w:r>
      <w:r w:rsidR="00DE6E0D" w:rsidRPr="00AB55F1">
        <w:t xml:space="preserve"> (that is, telework frequency as a function of nonwork stops </w:t>
      </w:r>
      <w:r w:rsidR="00FE01A2" w:rsidRPr="00AB55F1">
        <w:t>in</w:t>
      </w:r>
      <w:r w:rsidR="00DE6E0D" w:rsidRPr="00AB55F1">
        <w:t xml:space="preserve"> the spirit of a possible NT causal relationship)</w:t>
      </w:r>
      <w:r w:rsidR="00B71096" w:rsidRPr="00AB55F1">
        <w:t>, presenting the percentage splits across the different TF categories</w:t>
      </w:r>
      <w:r w:rsidR="00565700" w:rsidRPr="00AB55F1">
        <w:t xml:space="preserve"> (across each row, the p</w:t>
      </w:r>
      <w:r w:rsidR="007C64F7" w:rsidRPr="00AB55F1">
        <w:t>ercentages</w:t>
      </w:r>
      <w:r w:rsidR="00565700" w:rsidRPr="00AB55F1">
        <w:t xml:space="preserve"> sum to 100%)</w:t>
      </w:r>
      <w:r w:rsidR="00B71096" w:rsidRPr="00AB55F1">
        <w:t xml:space="preserve"> for individuals who make less than (and more than) the mean number of </w:t>
      </w:r>
      <w:r w:rsidR="00DE6E0D" w:rsidRPr="00AB55F1">
        <w:t xml:space="preserve">weekly </w:t>
      </w:r>
      <w:r w:rsidR="00B71096" w:rsidRPr="00AB55F1">
        <w:t>stops in each nonwork category (</w:t>
      </w:r>
      <w:r w:rsidR="00FE0D98" w:rsidRPr="00AB55F1">
        <w:t xml:space="preserve">the mean for maintenance stops is </w:t>
      </w:r>
      <w:r w:rsidR="00B71096" w:rsidRPr="00AB55F1">
        <w:t xml:space="preserve">3.86 and </w:t>
      </w:r>
      <w:r w:rsidR="00FE0D98" w:rsidRPr="00AB55F1">
        <w:t xml:space="preserve">the mean for leisure stops is </w:t>
      </w:r>
      <w:r w:rsidR="00B71096" w:rsidRPr="00AB55F1">
        <w:t>5.3</w:t>
      </w:r>
      <w:r w:rsidR="00FE0D98" w:rsidRPr="00AB55F1">
        <w:t>1</w:t>
      </w:r>
      <w:r w:rsidR="00B71096" w:rsidRPr="00AB55F1">
        <w:t xml:space="preserve">). </w:t>
      </w:r>
      <w:r w:rsidR="00FE01A2" w:rsidRPr="00AB55F1">
        <w:t xml:space="preserve">Individuals with </w:t>
      </w:r>
      <w:r w:rsidR="00500532" w:rsidRPr="00AB55F1">
        <w:t xml:space="preserve">higher </w:t>
      </w:r>
      <w:r w:rsidR="00FE01A2" w:rsidRPr="00AB55F1">
        <w:t xml:space="preserve">than the average number of maintenance stops are generally associated with never teleworking or substantial teleworking (four or more days per week), with 68.8% </w:t>
      </w:r>
      <w:r w:rsidR="00FE0D98" w:rsidRPr="00AB55F1">
        <w:t xml:space="preserve">(46.5+7.9+14.4) </w:t>
      </w:r>
      <w:r w:rsidR="00FE01A2" w:rsidRPr="00AB55F1">
        <w:t xml:space="preserve">of those with higher than average maintenance stops belonging to these low- and high-end teleworking categories relative to 66.5% </w:t>
      </w:r>
      <w:r w:rsidR="00FE0D98" w:rsidRPr="00AB55F1">
        <w:t xml:space="preserve">(44.7+7.4+13.4) </w:t>
      </w:r>
      <w:r w:rsidR="00FE01A2" w:rsidRPr="00AB55F1">
        <w:t xml:space="preserve">of those making lower than average maintenance stops). </w:t>
      </w:r>
      <w:r w:rsidR="00500532" w:rsidRPr="00AB55F1">
        <w:t>In contrast, the relationship between leisure stop-making and teleworking is monotonic, with those making more than average leisure stops associated with higher levels of teleworking</w:t>
      </w:r>
      <w:r w:rsidR="0032338A" w:rsidRPr="00AB55F1">
        <w:t xml:space="preserve"> (as may be observed from the drop in percentages at the lower ends of the telework frequency spectrum, and steady increase in the percentages toward the higher ends of the telework frequency spectrum, in the row labeled “more than average stops” for leisure in Table 3 relative to the row labeled “less than average stops” for leisure). But, again, as with the </w:t>
      </w:r>
      <w:r w:rsidR="00823364" w:rsidRPr="00AB55F1">
        <w:t xml:space="preserve">aggregate statistics </w:t>
      </w:r>
      <w:r w:rsidR="00B71096" w:rsidRPr="00AB55F1">
        <w:t>in Table 2</w:t>
      </w:r>
      <w:r w:rsidR="0032338A" w:rsidRPr="00AB55F1">
        <w:t xml:space="preserve">, those in Table 3 mask heterogeneity across individuals in the relationship as well as do not disentangle associative effects due to unobserved factors from “true” causal effects. </w:t>
      </w:r>
      <w:r w:rsidR="00823364" w:rsidRPr="00AB55F1">
        <w:t>The multivariate model system adopted in this paper will be able to better tease out relationships in this regard after controlling for a host of demographic, work-related, dwelling unit, and built environment attributes, as well as unobserved factors affecting the many dimensions and considering the causal directionality among the outcomes.</w:t>
      </w:r>
    </w:p>
    <w:p w14:paraId="38ED728D" w14:textId="77777777" w:rsidR="00AB55F1" w:rsidRPr="00AB55F1" w:rsidRDefault="00AB55F1" w:rsidP="00E84B6A">
      <w:pPr>
        <w:spacing w:after="0"/>
        <w:ind w:firstLine="720"/>
      </w:pPr>
    </w:p>
    <w:p w14:paraId="376C64C4" w14:textId="5DC6ED55" w:rsidR="000D0BAC" w:rsidRPr="00AB55F1" w:rsidRDefault="005C29FA" w:rsidP="00E84B6A">
      <w:pPr>
        <w:pStyle w:val="Heading1"/>
        <w:spacing w:before="0"/>
      </w:pPr>
      <w:r w:rsidRPr="00AB55F1">
        <w:t>METHODOLOGY</w:t>
      </w:r>
    </w:p>
    <w:p w14:paraId="4ECEFC99" w14:textId="3AD2DA81" w:rsidR="000D0BAC" w:rsidRPr="00AB55F1" w:rsidRDefault="000D0BAC" w:rsidP="00E84B6A">
      <w:pPr>
        <w:spacing w:after="0"/>
      </w:pPr>
      <w:bookmarkStart w:id="6" w:name="_Hlk173039832"/>
      <w:r w:rsidRPr="00AB55F1">
        <w:t xml:space="preserve">The methodology takes the form of a multivariate ordered response-count </w:t>
      </w:r>
      <w:r w:rsidR="00B91740" w:rsidRPr="00AB55F1">
        <w:t xml:space="preserve">probit </w:t>
      </w:r>
      <w:r w:rsidR="004E45D0" w:rsidRPr="00AB55F1">
        <w:t>(MORC</w:t>
      </w:r>
      <w:r w:rsidR="00B91740" w:rsidRPr="00AB55F1">
        <w:t>P</w:t>
      </w:r>
      <w:r w:rsidR="004E45D0" w:rsidRPr="00AB55F1">
        <w:t xml:space="preserve">) </w:t>
      </w:r>
      <w:r w:rsidRPr="00AB55F1">
        <w:t xml:space="preserve">model system of one ordered-response outcome (telework frequency) and two count outcomes (corresponding to the number of weekly maintenance and leisure stops). In addition, a latent segmentation approach is superimposed on this multivariate system to accommodate the two different causal directions (NT and TN) of effects. </w:t>
      </w:r>
      <w:bookmarkEnd w:id="6"/>
      <w:r w:rsidR="004E45D0" w:rsidRPr="00AB55F1">
        <w:t>We are not aware of any formulation and application of such a latent segmentation MORC</w:t>
      </w:r>
      <w:r w:rsidR="00B91740" w:rsidRPr="00AB55F1">
        <w:t>P</w:t>
      </w:r>
      <w:r w:rsidR="004E45D0" w:rsidRPr="00AB55F1">
        <w:t xml:space="preserve"> model in the literature. </w:t>
      </w:r>
    </w:p>
    <w:p w14:paraId="10785A85" w14:textId="77777777" w:rsidR="00AB55F1" w:rsidRPr="00AB55F1" w:rsidRDefault="004E45D0" w:rsidP="00E84B6A">
      <w:pPr>
        <w:spacing w:after="0"/>
        <w:ind w:firstLine="720"/>
      </w:pPr>
      <w:r w:rsidRPr="00AB55F1">
        <w:t>We first discuss the MORC</w:t>
      </w:r>
      <w:r w:rsidR="00B91740" w:rsidRPr="00AB55F1">
        <w:t>P</w:t>
      </w:r>
      <w:r w:rsidRPr="00AB55F1">
        <w:t xml:space="preserve"> model system within each latent segment, and then discuss the overlay of the latent segmentation model.</w:t>
      </w:r>
    </w:p>
    <w:p w14:paraId="2015B5D3" w14:textId="08506D28" w:rsidR="004E45D0" w:rsidRPr="00AB55F1" w:rsidRDefault="004E45D0" w:rsidP="00E84B6A">
      <w:pPr>
        <w:spacing w:after="0"/>
        <w:ind w:firstLine="720"/>
      </w:pPr>
      <w:r w:rsidRPr="00AB55F1">
        <w:t xml:space="preserve"> </w:t>
      </w:r>
    </w:p>
    <w:p w14:paraId="5117C9C1" w14:textId="788033F5" w:rsidR="004E45D0" w:rsidRPr="00E465D0" w:rsidRDefault="004E45D0" w:rsidP="00E84B6A">
      <w:pPr>
        <w:pStyle w:val="Heading2"/>
        <w:spacing w:before="0"/>
      </w:pPr>
      <w:r w:rsidRPr="00E465D0">
        <w:t xml:space="preserve">Multivariate </w:t>
      </w:r>
      <w:r w:rsidR="00AB55F1">
        <w:t>O</w:t>
      </w:r>
      <w:r w:rsidRPr="00E465D0">
        <w:t>rdered-</w:t>
      </w:r>
      <w:r w:rsidR="00AB55F1">
        <w:t>R</w:t>
      </w:r>
      <w:r w:rsidRPr="00E465D0">
        <w:t xml:space="preserve">esponse </w:t>
      </w:r>
      <w:r w:rsidR="00AB55F1">
        <w:t>C</w:t>
      </w:r>
      <w:r w:rsidRPr="00E465D0">
        <w:t xml:space="preserve">ount </w:t>
      </w:r>
      <w:r w:rsidR="00AB55F1">
        <w:t>P</w:t>
      </w:r>
      <w:r w:rsidR="0032338A" w:rsidRPr="00E465D0">
        <w:t xml:space="preserve">robit </w:t>
      </w:r>
      <w:r w:rsidRPr="00E465D0">
        <w:t>(MORC</w:t>
      </w:r>
      <w:r w:rsidR="00B91740" w:rsidRPr="00E465D0">
        <w:t>P</w:t>
      </w:r>
      <w:r w:rsidRPr="00E465D0">
        <w:t xml:space="preserve">) </w:t>
      </w:r>
      <w:r w:rsidR="00AB55F1">
        <w:t>M</w:t>
      </w:r>
      <w:r w:rsidRPr="00E465D0">
        <w:t xml:space="preserve">odel </w:t>
      </w:r>
      <w:r w:rsidR="00AB55F1">
        <w:t>S</w:t>
      </w:r>
      <w:r w:rsidRPr="00E465D0">
        <w:t>ystem</w:t>
      </w:r>
    </w:p>
    <w:p w14:paraId="0A42E4E8" w14:textId="292E50A8" w:rsidR="00B91740" w:rsidRPr="00E465D0" w:rsidRDefault="00B91740" w:rsidP="00E84B6A">
      <w:pPr>
        <w:spacing w:after="0"/>
      </w:pPr>
      <w:r w:rsidRPr="00E465D0">
        <w:rPr>
          <w:noProof/>
        </w:rPr>
        <w:t>The MORC</w:t>
      </w:r>
      <w:r w:rsidR="0032338A" w:rsidRPr="00E465D0">
        <w:rPr>
          <w:noProof/>
        </w:rPr>
        <w:t>P</w:t>
      </w:r>
      <w:r w:rsidRPr="00E465D0">
        <w:rPr>
          <w:noProof/>
        </w:rPr>
        <w:t xml:space="preserve"> model can be viewed as a multivariate generalized ordered-response probit model, based on the recasting of any count model in the form of a generalized ordered-response model. We begin by suppressing the index </w:t>
      </w:r>
      <w:r w:rsidRPr="00E465D0">
        <w:rPr>
          <w:i/>
          <w:iCs/>
          <w:noProof/>
        </w:rPr>
        <w:t>q</w:t>
      </w:r>
      <w:r w:rsidRPr="00E465D0">
        <w:rPr>
          <w:noProof/>
        </w:rPr>
        <w:t xml:space="preserve"> for individuals for presentation ease. In the usual ordered-response form, </w:t>
      </w:r>
      <w:r w:rsidRPr="00E465D0">
        <w:t xml:space="preserve">let </w:t>
      </w:r>
      <w:r w:rsidR="00B8253A" w:rsidRPr="00E465D0">
        <w:rPr>
          <w:position w:val="-12"/>
        </w:rPr>
        <w:object w:dxaOrig="240" w:dyaOrig="380" w14:anchorId="25D00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85pt" o:ole="" o:preferrelative="f">
            <v:imagedata r:id="rId11" o:title=""/>
            <o:lock v:ext="edit" aspectratio="f"/>
          </v:shape>
          <o:OLEObject Type="Embed" ProgID="Equation.DSMT4" ShapeID="_x0000_i1025" DrawAspect="Content" ObjectID="_1784383179" r:id="rId12"/>
        </w:object>
      </w:r>
      <w:r w:rsidRPr="00E465D0">
        <w:t xml:space="preserve"> be the underlying </w:t>
      </w:r>
      <w:r w:rsidR="00406E9A" w:rsidRPr="00E465D0">
        <w:t xml:space="preserve">teleworking propensity that is mapped to the ordinal teleworking </w:t>
      </w:r>
      <w:r w:rsidR="00496FA7" w:rsidRPr="00E465D0">
        <w:t xml:space="preserve">outcome </w:t>
      </w:r>
      <w:r w:rsidR="00406E9A" w:rsidRPr="00E465D0">
        <w:rPr>
          <w:i/>
          <w:iCs/>
        </w:rPr>
        <w:t>t</w:t>
      </w:r>
      <w:r w:rsidR="00406E9A" w:rsidRPr="00E465D0">
        <w:t xml:space="preserve"> as follows:  </w:t>
      </w:r>
    </w:p>
    <w:p w14:paraId="43543C9F" w14:textId="3B209296" w:rsidR="00B91740" w:rsidRPr="00E465D0" w:rsidRDefault="00B8253A" w:rsidP="009C5C94">
      <w:pPr>
        <w:tabs>
          <w:tab w:val="right" w:pos="9360"/>
        </w:tabs>
        <w:spacing w:before="60" w:after="60"/>
      </w:pPr>
      <w:r w:rsidRPr="00E465D0">
        <w:rPr>
          <w:position w:val="-12"/>
        </w:rPr>
        <w:object w:dxaOrig="1140" w:dyaOrig="380" w14:anchorId="4005D808">
          <v:shape id="_x0000_i1026" type="#_x0000_t75" style="width:57pt;height:18.85pt" o:ole="" o:preferrelative="f">
            <v:imagedata r:id="rId13" o:title=""/>
            <o:lock v:ext="edit" aspectratio="f"/>
          </v:shape>
          <o:OLEObject Type="Embed" ProgID="Equation.DSMT4" ShapeID="_x0000_i1026" DrawAspect="Content" ObjectID="_1784383180" r:id="rId14"/>
        </w:object>
      </w:r>
      <w:r w:rsidR="00B91740" w:rsidRPr="00E465D0">
        <w:t xml:space="preserve">, </w:t>
      </w:r>
      <w:r w:rsidRPr="00E465D0">
        <w:rPr>
          <w:position w:val="-6"/>
        </w:rPr>
        <w:object w:dxaOrig="520" w:dyaOrig="279" w14:anchorId="3B3D795B">
          <v:shape id="_x0000_i1027" type="#_x0000_t75" style="width:25.7pt;height:13.3pt" o:ole="" o:preferrelative="f">
            <v:imagedata r:id="rId15" o:title=""/>
            <o:lock v:ext="edit" aspectratio="f"/>
          </v:shape>
          <o:OLEObject Type="Embed" ProgID="Equation.DSMT4" ShapeID="_x0000_i1027" DrawAspect="Content" ObjectID="_1784383181" r:id="rId16"/>
        </w:object>
      </w:r>
      <w:r w:rsidR="00B91740" w:rsidRPr="00E465D0">
        <w:t xml:space="preserve"> if </w:t>
      </w:r>
      <w:r w:rsidRPr="00E465D0">
        <w:rPr>
          <w:position w:val="-12"/>
        </w:rPr>
        <w:object w:dxaOrig="1359" w:dyaOrig="380" w14:anchorId="406578B7">
          <v:shape id="_x0000_i1028" type="#_x0000_t75" style="width:67.7pt;height:18.85pt" o:ole="" o:preferrelative="f">
            <v:imagedata r:id="rId17" o:title=""/>
            <o:lock v:ext="edit" aspectratio="f"/>
          </v:shape>
          <o:OLEObject Type="Embed" ProgID="Equation.DSMT4" ShapeID="_x0000_i1028" DrawAspect="Content" ObjectID="_1784383182" r:id="rId18"/>
        </w:object>
      </w:r>
      <w:r w:rsidR="00B91740" w:rsidRPr="00E465D0">
        <w:t xml:space="preserve">,  </w:t>
      </w:r>
      <w:r w:rsidR="00B91740" w:rsidRPr="00E465D0">
        <w:tab/>
        <w:t>(</w:t>
      </w:r>
      <w:r w:rsidR="000738A9" w:rsidRPr="00E465D0">
        <w:t>1</w:t>
      </w:r>
      <w:r w:rsidR="00B91740" w:rsidRPr="00E465D0">
        <w:t>)</w:t>
      </w:r>
    </w:p>
    <w:p w14:paraId="455C640F" w14:textId="27472313" w:rsidR="00CB21C3" w:rsidRPr="00E465D0" w:rsidRDefault="00B91740" w:rsidP="00C2241C">
      <w:pPr>
        <w:spacing w:after="0"/>
      </w:pPr>
      <w:r w:rsidRPr="00E465D0">
        <w:t xml:space="preserve">where </w:t>
      </w:r>
      <w:r w:rsidR="00B8253A" w:rsidRPr="00E465D0">
        <w:rPr>
          <w:position w:val="-4"/>
        </w:rPr>
        <w:object w:dxaOrig="200" w:dyaOrig="200" w14:anchorId="0FD4EA76">
          <v:shape id="_x0000_i1029" type="#_x0000_t75" style="width:10.3pt;height:10.3pt" o:ole="" o:preferrelative="f">
            <v:imagedata r:id="rId19" o:title=""/>
            <o:lock v:ext="edit" aspectratio="f"/>
          </v:shape>
          <o:OLEObject Type="Embed" ProgID="Equation.DSMT4" ShapeID="_x0000_i1029" DrawAspect="Content" ObjectID="_1784383183" r:id="rId20"/>
        </w:object>
      </w:r>
      <w:r w:rsidRPr="00E465D0">
        <w:t xml:space="preserve"> is a (</w:t>
      </w:r>
      <w:r w:rsidRPr="00E465D0">
        <w:rPr>
          <w:i/>
        </w:rPr>
        <w:t>L×</w:t>
      </w:r>
      <w:r w:rsidRPr="00E465D0">
        <w:t xml:space="preserve">1) vector of exogenous variables (including a constant), </w:t>
      </w:r>
      <w:r w:rsidR="00276807" w:rsidRPr="00E465D0">
        <w:rPr>
          <w:position w:val="-10"/>
        </w:rPr>
        <w:object w:dxaOrig="200" w:dyaOrig="320" w14:anchorId="76336C82">
          <v:shape id="_x0000_i1030" type="#_x0000_t75" style="width:10.3pt;height:16.3pt" o:ole="" o:preferrelative="f">
            <v:imagedata r:id="rId21" o:title=""/>
            <o:lock v:ext="edit" aspectratio="f"/>
          </v:shape>
          <o:OLEObject Type="Embed" ProgID="Equation.DSMT4" ShapeID="_x0000_i1030" DrawAspect="Content" ObjectID="_1784383184" r:id="rId22"/>
        </w:object>
      </w:r>
      <w:r w:rsidRPr="00E465D0">
        <w:t xml:space="preserve"> is a corresponding (</w:t>
      </w:r>
      <w:r w:rsidRPr="00E465D0">
        <w:rPr>
          <w:i/>
        </w:rPr>
        <w:t>L×</w:t>
      </w:r>
      <w:r w:rsidRPr="00E465D0">
        <w:t>1) vector of</w:t>
      </w:r>
      <w:r w:rsidR="00406E9A" w:rsidRPr="00E465D0">
        <w:t xml:space="preserve"> </w:t>
      </w:r>
      <w:r w:rsidRPr="00E465D0">
        <w:t>coefficients to be estimated</w:t>
      </w:r>
      <w:r w:rsidR="00F30076" w:rsidRPr="00E465D0">
        <w:t xml:space="preserve"> (some of whose elements can be zero)</w:t>
      </w:r>
      <w:r w:rsidRPr="00E465D0">
        <w:t xml:space="preserve">, and </w:t>
      </w:r>
      <w:r w:rsidR="00276807" w:rsidRPr="00E465D0">
        <w:rPr>
          <w:position w:val="-6"/>
        </w:rPr>
        <w:object w:dxaOrig="200" w:dyaOrig="220" w14:anchorId="2DD6A78C">
          <v:shape id="_x0000_i1031" type="#_x0000_t75" style="width:10.3pt;height:10.7pt" o:ole="" o:preferrelative="f">
            <v:imagedata r:id="rId23" o:title=""/>
            <o:lock v:ext="edit" aspectratio="f"/>
          </v:shape>
          <o:OLEObject Type="Embed" ProgID="Equation.DSMT4" ShapeID="_x0000_i1031" DrawAspect="Content" ObjectID="_1784383185" r:id="rId24"/>
        </w:object>
      </w:r>
      <w:r w:rsidRPr="00E465D0">
        <w:t xml:space="preserve"> is </w:t>
      </w:r>
      <w:r w:rsidR="00406E9A" w:rsidRPr="00E465D0">
        <w:t xml:space="preserve">assumed to be </w:t>
      </w:r>
      <w:r w:rsidRPr="00E465D0">
        <w:t xml:space="preserve">a </w:t>
      </w:r>
      <w:r w:rsidR="00406E9A" w:rsidRPr="00E465D0">
        <w:t xml:space="preserve">standard normal </w:t>
      </w:r>
      <w:r w:rsidRPr="00E465D0">
        <w:t xml:space="preserve">random error term </w:t>
      </w:r>
      <w:r w:rsidR="00406E9A" w:rsidRPr="00E465D0">
        <w:t xml:space="preserve">(the standardization is innocuous because of the need for scale normalization). </w:t>
      </w:r>
      <w:r w:rsidR="005F622E" w:rsidRPr="00E465D0">
        <w:t xml:space="preserve">The vector </w:t>
      </w:r>
      <w:r w:rsidR="00276807" w:rsidRPr="00E465D0">
        <w:rPr>
          <w:position w:val="-4"/>
        </w:rPr>
        <w:object w:dxaOrig="200" w:dyaOrig="200" w14:anchorId="581C8398">
          <v:shape id="_x0000_i1032" type="#_x0000_t75" style="width:10.3pt;height:10.3pt" o:ole="" o:preferrelative="f">
            <v:imagedata r:id="rId19" o:title=""/>
            <o:lock v:ext="edit" aspectratio="f"/>
          </v:shape>
          <o:OLEObject Type="Embed" ProgID="Equation.DSMT4" ShapeID="_x0000_i1032" DrawAspect="Content" ObjectID="_1784383186" r:id="rId25"/>
        </w:object>
      </w:r>
      <w:r w:rsidR="005F622E" w:rsidRPr="00E465D0">
        <w:t xml:space="preserve"> also includes variables corresponding to maintenance and leisure stop making for the NT segment, but these stop making variables do not appear for the TN segment. </w:t>
      </w:r>
      <w:r w:rsidR="00CF1FFC">
        <w:t>Additionally,</w:t>
      </w:r>
      <w:r w:rsidR="00276807">
        <w:t xml:space="preserve"> </w:t>
      </w:r>
      <w:r w:rsidR="00276807" w:rsidRPr="00276807">
        <w:rPr>
          <w:i/>
          <w:iCs/>
        </w:rPr>
        <w:t>k</w:t>
      </w:r>
      <w:r w:rsidR="00276807">
        <w:t xml:space="preserve"> </w:t>
      </w:r>
      <w:r w:rsidRPr="00E465D0">
        <w:t>represents a</w:t>
      </w:r>
      <w:r w:rsidR="00406E9A" w:rsidRPr="00E465D0">
        <w:t xml:space="preserve">n ordinal </w:t>
      </w:r>
      <w:r w:rsidRPr="00E465D0">
        <w:t xml:space="preserve">value of </w:t>
      </w:r>
      <w:r w:rsidR="00406E9A" w:rsidRPr="00E465D0">
        <w:rPr>
          <w:position w:val="-6"/>
        </w:rPr>
        <w:object w:dxaOrig="139" w:dyaOrig="240" w14:anchorId="67903F7B">
          <v:shape id="_x0000_i1033" type="#_x0000_t75" style="width:6.85pt;height:12pt" o:ole="">
            <v:imagedata r:id="rId26" o:title=""/>
          </v:shape>
          <o:OLEObject Type="Embed" ProgID="Equation.DSMT4" ShapeID="_x0000_i1033" DrawAspect="Content" ObjectID="_1784383187" r:id="rId27"/>
        </w:object>
      </w:r>
      <w:r w:rsidR="00406E9A" w:rsidRPr="00E465D0">
        <w:t xml:space="preserve">, and </w:t>
      </w:r>
      <w:r w:rsidRPr="00E465D0">
        <w:t>range</w:t>
      </w:r>
      <w:r w:rsidR="00406E9A" w:rsidRPr="00E465D0">
        <w:t>s</w:t>
      </w:r>
      <w:r w:rsidRPr="00E465D0">
        <w:t xml:space="preserve"> from </w:t>
      </w:r>
      <w:r w:rsidR="00D17D70" w:rsidRPr="00E465D0">
        <w:t>1</w:t>
      </w:r>
      <w:r w:rsidRPr="00E465D0">
        <w:t xml:space="preserve"> to </w:t>
      </w:r>
      <w:r w:rsidR="00406E9A" w:rsidRPr="00E465D0">
        <w:rPr>
          <w:i/>
          <w:iCs/>
        </w:rPr>
        <w:lastRenderedPageBreak/>
        <w:t>K</w:t>
      </w:r>
      <w:r w:rsidR="00D17D70" w:rsidRPr="00E465D0">
        <w:t xml:space="preserve"> (</w:t>
      </w:r>
      <w:r w:rsidR="00D17D70" w:rsidRPr="00E465D0">
        <w:rPr>
          <w:i/>
          <w:iCs/>
        </w:rPr>
        <w:t>K</w:t>
      </w:r>
      <w:r w:rsidR="00D17D70" w:rsidRPr="00E465D0">
        <w:t>=7 in the current paper)</w:t>
      </w:r>
      <w:r w:rsidR="00CF1FFC">
        <w:t>.</w:t>
      </w:r>
      <w:r w:rsidR="00406E9A" w:rsidRPr="00E465D0">
        <w:t xml:space="preserve"> T</w:t>
      </w:r>
      <w:r w:rsidRPr="00E465D0">
        <w:t xml:space="preserve">he thresholds </w:t>
      </w:r>
      <w:r w:rsidR="00276807" w:rsidRPr="00E465D0">
        <w:rPr>
          <w:position w:val="-12"/>
        </w:rPr>
        <w:object w:dxaOrig="320" w:dyaOrig="360" w14:anchorId="107EBA48">
          <v:shape id="_x0000_i1034" type="#_x0000_t75" style="width:16.3pt;height:18.45pt" o:ole="" o:preferrelative="f">
            <v:imagedata r:id="rId28" o:title=""/>
            <o:lock v:ext="edit" aspectratio="f"/>
          </v:shape>
          <o:OLEObject Type="Embed" ProgID="Equation.DSMT4" ShapeID="_x0000_i1034" DrawAspect="Content" ObjectID="_1784383188" r:id="rId29"/>
        </w:object>
      </w:r>
      <w:r w:rsidR="00406E9A" w:rsidRPr="00E465D0">
        <w:t xml:space="preserve"> satisfy the following condition</w:t>
      </w:r>
      <w:r w:rsidRPr="00E465D0">
        <w:t>;</w:t>
      </w:r>
      <w:r w:rsidR="00E34EBB" w:rsidRPr="00E465D0">
        <w:t xml:space="preserve"> </w:t>
      </w:r>
      <w:r w:rsidR="00276807" w:rsidRPr="00E465D0">
        <w:rPr>
          <w:position w:val="-12"/>
        </w:rPr>
        <w:object w:dxaOrig="4160" w:dyaOrig="360" w14:anchorId="3918DF7F">
          <v:shape id="_x0000_i1035" type="#_x0000_t75" style="width:207.85pt;height:18.45pt" o:ole="" o:preferrelative="f">
            <v:imagedata r:id="rId30" o:title=""/>
            <o:lock v:ext="edit" aspectratio="f"/>
          </v:shape>
          <o:OLEObject Type="Embed" ProgID="Equation.DSMT4" ShapeID="_x0000_i1035" DrawAspect="Content" ObjectID="_1784383189" r:id="rId31"/>
        </w:object>
      </w:r>
      <w:r w:rsidRPr="00E465D0">
        <w:t xml:space="preserve"> in the usual ordered-response fashion. </w:t>
      </w:r>
      <w:r w:rsidR="000738A9" w:rsidRPr="00E465D0">
        <w:t>Equation (1) may be rewritten as follows:</w:t>
      </w:r>
    </w:p>
    <w:p w14:paraId="76912B91" w14:textId="5D954859" w:rsidR="00CB21C3" w:rsidRPr="00E465D0" w:rsidRDefault="00276807" w:rsidP="009C5C94">
      <w:pPr>
        <w:spacing w:before="60" w:after="60"/>
      </w:pPr>
      <w:r w:rsidRPr="00E465D0">
        <w:rPr>
          <w:position w:val="-12"/>
        </w:rPr>
        <w:object w:dxaOrig="600" w:dyaOrig="380" w14:anchorId="36E63691">
          <v:shape id="_x0000_i1036" type="#_x0000_t75" style="width:30.85pt;height:18.85pt" o:ole="" o:preferrelative="f">
            <v:imagedata r:id="rId32" o:title=""/>
            <o:lock v:ext="edit" aspectratio="f"/>
          </v:shape>
          <o:OLEObject Type="Embed" ProgID="Equation.DSMT4" ShapeID="_x0000_i1036" DrawAspect="Content" ObjectID="_1784383190" r:id="rId33"/>
        </w:object>
      </w:r>
      <w:r w:rsidR="000738A9" w:rsidRPr="00E465D0">
        <w:t xml:space="preserve">, </w:t>
      </w:r>
      <w:r w:rsidRPr="00E465D0">
        <w:rPr>
          <w:position w:val="-6"/>
        </w:rPr>
        <w:object w:dxaOrig="520" w:dyaOrig="279" w14:anchorId="38C8355D">
          <v:shape id="_x0000_i1037" type="#_x0000_t75" style="width:25.7pt;height:13.3pt" o:ole="" o:preferrelative="f">
            <v:imagedata r:id="rId15" o:title=""/>
            <o:lock v:ext="edit" aspectratio="f"/>
          </v:shape>
          <o:OLEObject Type="Embed" ProgID="Equation.DSMT4" ShapeID="_x0000_i1037" DrawAspect="Content" ObjectID="_1784383191" r:id="rId34"/>
        </w:object>
      </w:r>
      <w:r w:rsidR="000738A9" w:rsidRPr="00E465D0">
        <w:t xml:space="preserve"> if </w:t>
      </w:r>
      <w:r w:rsidRPr="00E465D0">
        <w:rPr>
          <w:position w:val="-12"/>
        </w:rPr>
        <w:object w:dxaOrig="1340" w:dyaOrig="380" w14:anchorId="73B3FEB5">
          <v:shape id="_x0000_i1038" type="#_x0000_t75" style="width:67.3pt;height:18.85pt" o:ole="" o:preferrelative="f">
            <v:imagedata r:id="rId35" o:title=""/>
            <o:lock v:ext="edit" aspectratio="f"/>
          </v:shape>
          <o:OLEObject Type="Embed" ProgID="Equation.DSMT4" ShapeID="_x0000_i1038" DrawAspect="Content" ObjectID="_1784383192" r:id="rId36"/>
        </w:object>
      </w:r>
      <w:r w:rsidR="000738A9" w:rsidRPr="00E465D0">
        <w:t xml:space="preserve">, </w:t>
      </w:r>
      <w:r w:rsidR="000738A9" w:rsidRPr="00E465D0">
        <w:tab/>
      </w:r>
      <w:r w:rsidR="000738A9" w:rsidRPr="00E465D0">
        <w:tab/>
      </w:r>
      <w:r w:rsidR="000738A9" w:rsidRPr="00E465D0">
        <w:tab/>
      </w:r>
      <w:r w:rsidR="000738A9" w:rsidRPr="00E465D0">
        <w:tab/>
      </w:r>
      <w:r w:rsidR="000738A9" w:rsidRPr="00E465D0">
        <w:tab/>
      </w:r>
      <w:r w:rsidR="000738A9" w:rsidRPr="00E465D0">
        <w:tab/>
      </w:r>
      <w:r w:rsidR="000738A9" w:rsidRPr="00E465D0">
        <w:tab/>
      </w:r>
      <w:r w:rsidR="000738A9" w:rsidRPr="00E465D0">
        <w:tab/>
      </w:r>
      <w:r w:rsidR="0039755C" w:rsidRPr="00E465D0">
        <w:t xml:space="preserve"> </w:t>
      </w:r>
      <w:r w:rsidR="000738A9" w:rsidRPr="00E465D0">
        <w:t xml:space="preserve">      (2)</w:t>
      </w:r>
    </w:p>
    <w:p w14:paraId="5F639FEB" w14:textId="5DDA3A2D" w:rsidR="00DE48A8" w:rsidRPr="00E465D0" w:rsidRDefault="000738A9" w:rsidP="00C2241C">
      <w:pPr>
        <w:spacing w:after="0"/>
      </w:pPr>
      <w:r w:rsidRPr="00E465D0">
        <w:t xml:space="preserve">where  </w:t>
      </w:r>
      <w:r w:rsidR="00276807" w:rsidRPr="00E465D0">
        <w:rPr>
          <w:position w:val="-12"/>
        </w:rPr>
        <w:object w:dxaOrig="1180" w:dyaOrig="380" w14:anchorId="5BAF1749">
          <v:shape id="_x0000_i1039" type="#_x0000_t75" style="width:59.55pt;height:18.85pt" o:ole="" o:preferrelative="f">
            <v:imagedata r:id="rId37" o:title=""/>
            <o:lock v:ext="edit" aspectratio="f"/>
          </v:shape>
          <o:OLEObject Type="Embed" ProgID="Equation.DSMT4" ShapeID="_x0000_i1039" DrawAspect="Content" ObjectID="_1784383193" r:id="rId38"/>
        </w:object>
      </w:r>
      <w:r w:rsidRPr="00E465D0">
        <w:t xml:space="preserve"> and </w:t>
      </w:r>
      <w:r w:rsidR="00276807" w:rsidRPr="00E465D0">
        <w:rPr>
          <w:position w:val="-12"/>
        </w:rPr>
        <w:object w:dxaOrig="1340" w:dyaOrig="360" w14:anchorId="4BB9B603">
          <v:shape id="_x0000_i1040" type="#_x0000_t75" style="width:67.3pt;height:18.45pt" o:ole="" o:preferrelative="f">
            <v:imagedata r:id="rId39" o:title=""/>
            <o:lock v:ext="edit" aspectratio="f"/>
          </v:shape>
          <o:OLEObject Type="Embed" ProgID="Equation.DSMT4" ShapeID="_x0000_i1040" DrawAspect="Content" ObjectID="_1784383194" r:id="rId40"/>
        </w:object>
      </w:r>
      <w:r w:rsidRPr="00E465D0">
        <w:t xml:space="preserve">. For later use, define a vector </w:t>
      </w:r>
      <w:r w:rsidR="00276807" w:rsidRPr="00E465D0">
        <w:rPr>
          <w:position w:val="-14"/>
        </w:rPr>
        <w:object w:dxaOrig="2060" w:dyaOrig="380" w14:anchorId="0E3208D8">
          <v:shape id="_x0000_i1041" type="#_x0000_t75" style="width:103.3pt;height:18.85pt" o:ole="" o:preferrelative="f">
            <v:imagedata r:id="rId41" o:title=""/>
            <o:lock v:ext="edit" aspectratio="f"/>
          </v:shape>
          <o:OLEObject Type="Embed" ProgID="Equation.DSMT4" ShapeID="_x0000_i1041" DrawAspect="Content" ObjectID="_1784383195" r:id="rId42"/>
        </w:object>
      </w:r>
    </w:p>
    <w:p w14:paraId="6D2FF8CE" w14:textId="090369D8" w:rsidR="00B91740" w:rsidRPr="00E465D0" w:rsidRDefault="00D17D70" w:rsidP="00E84B6A">
      <w:pPr>
        <w:spacing w:after="0"/>
        <w:ind w:firstLine="720"/>
        <w:rPr>
          <w:noProof/>
        </w:rPr>
      </w:pPr>
      <w:r w:rsidRPr="00E465D0">
        <w:rPr>
          <w:noProof/>
        </w:rPr>
        <w:t xml:space="preserve">Consider </w:t>
      </w:r>
      <w:r w:rsidR="00B91740" w:rsidRPr="00E465D0">
        <w:rPr>
          <w:i/>
          <w:noProof/>
        </w:rPr>
        <w:t>C</w:t>
      </w:r>
      <w:r w:rsidR="00B91740" w:rsidRPr="00E465D0">
        <w:rPr>
          <w:noProof/>
        </w:rPr>
        <w:t xml:space="preserve"> count </w:t>
      </w:r>
      <w:r w:rsidR="00496FA7" w:rsidRPr="00E465D0">
        <w:rPr>
          <w:noProof/>
        </w:rPr>
        <w:t xml:space="preserve">outcomes </w:t>
      </w:r>
      <w:r w:rsidR="00B91740" w:rsidRPr="00E465D0">
        <w:rPr>
          <w:noProof/>
        </w:rPr>
        <w:t>for</w:t>
      </w:r>
      <w:r w:rsidR="00496FA7" w:rsidRPr="00E465D0">
        <w:rPr>
          <w:noProof/>
        </w:rPr>
        <w:t xml:space="preserve"> each individual</w:t>
      </w:r>
      <w:r w:rsidR="00B91740" w:rsidRPr="00E465D0">
        <w:rPr>
          <w:noProof/>
        </w:rPr>
        <w:t xml:space="preserve">, and let </w:t>
      </w:r>
      <w:r w:rsidR="00B91740" w:rsidRPr="00E465D0">
        <w:rPr>
          <w:i/>
          <w:noProof/>
        </w:rPr>
        <w:t xml:space="preserve">c </w:t>
      </w:r>
      <w:r w:rsidR="00B91740" w:rsidRPr="00E465D0">
        <w:rPr>
          <w:noProof/>
        </w:rPr>
        <w:t xml:space="preserve">be the index for the count variables </w:t>
      </w:r>
      <w:r w:rsidR="00276807" w:rsidRPr="00E465D0">
        <w:rPr>
          <w:noProof/>
          <w:position w:val="-10"/>
        </w:rPr>
        <w:object w:dxaOrig="2180" w:dyaOrig="320" w14:anchorId="2AD7D07E">
          <v:shape id="_x0000_i1042" type="#_x0000_t75" style="width:108.45pt;height:16.3pt" o:ole="" o:preferrelative="f">
            <v:imagedata r:id="rId43" o:title=""/>
            <o:lock v:ext="edit" aspectratio="f"/>
          </v:shape>
          <o:OLEObject Type="Embed" ProgID="Equation.DSMT4" ShapeID="_x0000_i1042" DrawAspect="Content" ObjectID="_1784383196" r:id="rId44"/>
        </w:object>
      </w:r>
      <w:r w:rsidRPr="00E465D0">
        <w:rPr>
          <w:noProof/>
        </w:rPr>
        <w:t>in our paper, representing the weekly counts of maintenance and leisure stops)</w:t>
      </w:r>
      <w:r w:rsidR="00B91740" w:rsidRPr="00E465D0">
        <w:rPr>
          <w:noProof/>
        </w:rPr>
        <w:t xml:space="preserve">. Let the count index be </w:t>
      </w:r>
      <w:r w:rsidR="00276807" w:rsidRPr="00E465D0">
        <w:rPr>
          <w:noProof/>
          <w:position w:val="-12"/>
        </w:rPr>
        <w:object w:dxaOrig="220" w:dyaOrig="360" w14:anchorId="346640C0">
          <v:shape id="_x0000_i1043" type="#_x0000_t75" style="width:10.7pt;height:18.45pt" o:ole="" o:preferrelative="f">
            <v:imagedata r:id="rId45" o:title=""/>
            <o:lock v:ext="edit" aspectratio="f"/>
          </v:shape>
          <o:OLEObject Type="Embed" ProgID="Equation.DSMT4" ShapeID="_x0000_i1043" DrawAspect="Content" ObjectID="_1784383197" r:id="rId46"/>
        </w:object>
      </w:r>
      <w:r w:rsidR="00276807" w:rsidRPr="00E465D0">
        <w:rPr>
          <w:noProof/>
          <w:position w:val="-12"/>
        </w:rPr>
        <w:object w:dxaOrig="1880" w:dyaOrig="360" w14:anchorId="51CECA75">
          <v:shape id="_x0000_i1044" type="#_x0000_t75" style="width:94.3pt;height:18.45pt" o:ole="" o:preferrelative="f">
            <v:imagedata r:id="rId47" o:title=""/>
            <o:lock v:ext="edit" aspectratio="f"/>
          </v:shape>
          <o:OLEObject Type="Embed" ProgID="Equation.DSMT4" ShapeID="_x0000_i1044" DrawAspect="Content" ObjectID="_1784383198" r:id="rId48"/>
        </w:object>
      </w:r>
      <w:r w:rsidR="00496FA7" w:rsidRPr="00E465D0">
        <w:rPr>
          <w:noProof/>
        </w:rPr>
        <w:t xml:space="preserve"> for the </w:t>
      </w:r>
      <w:r w:rsidR="00496FA7" w:rsidRPr="00E465D0">
        <w:rPr>
          <w:i/>
          <w:iCs/>
          <w:noProof/>
        </w:rPr>
        <w:t>c</w:t>
      </w:r>
      <w:r w:rsidR="00496FA7" w:rsidRPr="00E465D0">
        <w:rPr>
          <w:noProof/>
        </w:rPr>
        <w:t xml:space="preserve">th count </w:t>
      </w:r>
      <w:r w:rsidR="00B91740" w:rsidRPr="00E465D0">
        <w:rPr>
          <w:noProof/>
        </w:rPr>
        <w:t xml:space="preserve">. Then, following the recasting of a count model in a generalized ordered-response probit formulation </w:t>
      </w:r>
      <w:r w:rsidR="00B91740" w:rsidRPr="00E465D0">
        <w:t xml:space="preserve">(see </w:t>
      </w:r>
      <w:r w:rsidR="00B91740" w:rsidRPr="00C83365">
        <w:t>Castro</w:t>
      </w:r>
      <w:r w:rsidR="00CF1FFC" w:rsidRPr="00C83365">
        <w:t xml:space="preserve"> et al.</w:t>
      </w:r>
      <w:r w:rsidR="00B91740" w:rsidRPr="00C83365">
        <w:t xml:space="preserve">, 2012 and Bhat </w:t>
      </w:r>
      <w:r w:rsidR="00B91740" w:rsidRPr="00C83365">
        <w:rPr>
          <w:iCs/>
        </w:rPr>
        <w:t>et al.,</w:t>
      </w:r>
      <w:r w:rsidR="00B91740" w:rsidRPr="00C83365">
        <w:t xml:space="preserve"> 2014</w:t>
      </w:r>
      <w:r w:rsidR="00B91740" w:rsidRPr="00E465D0">
        <w:t>)</w:t>
      </w:r>
      <w:r w:rsidR="00B91740" w:rsidRPr="00E465D0">
        <w:rPr>
          <w:noProof/>
        </w:rPr>
        <w:fldChar w:fldCharType="begin"/>
      </w:r>
      <w:r w:rsidR="00B91740" w:rsidRPr="00E465D0">
        <w:rPr>
          <w:noProof/>
        </w:rPr>
        <w:instrText xml:space="preserve"> ADDIN EN.CITE &lt;EndNote&gt;&lt;Cite Hidden="1"&gt;&lt;Author&gt;Castro&lt;/Author&gt;&lt;Year&gt;2011&lt;/Year&gt;&lt;RecNum&gt;46&lt;/RecNum&gt;&lt;record&gt;&lt;rec-number&gt;46&lt;/rec-number&gt;&lt;foreign-keys&gt;&lt;key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Cite Hidden="1"&gt;&lt;Author&gt;Bhat&lt;/Author&gt;&lt;Year&gt;2013&lt;/Year&gt;&lt;RecNum&gt;52&lt;/RecNum&gt;&lt;record&gt;&lt;rec-number&gt;52&lt;/rec-number&gt;&lt;foreign-keys&gt;&lt;key app="EN" db-id="pvx5r9p0tafrfne2pxqxp2x4zvae5vdepf09"&gt;52&lt;/key&gt;&lt;/foreign-keys&gt;&lt;ref-type name="Journal Article"&gt;17&lt;/ref-type&gt;&lt;contributors&gt;&lt;authors&gt;&lt;author&gt;Bhat, Chandra R&lt;/author&gt;&lt;author&gt;Paleti, Rajesh&lt;/author&gt;&lt;author&gt;Castro, Marisol&lt;/author&gt;&lt;/authors&gt;&lt;/contributors&gt;&lt;titles&gt;&lt;title&gt;A New Econometric Approach to Multivariate Count Data Modeling&lt;/title&gt;&lt;/titles&gt;&lt;dates&gt;&lt;year&gt;2013&lt;/year&gt;&lt;/dates&gt;&lt;urls&gt;&lt;/urls&gt;&lt;/record&gt;&lt;/Cite&gt;&lt;/EndNote&gt;</w:instrText>
      </w:r>
      <w:r w:rsidR="00B91740" w:rsidRPr="00E465D0">
        <w:rPr>
          <w:noProof/>
        </w:rPr>
        <w:fldChar w:fldCharType="end"/>
      </w:r>
      <w:r w:rsidR="00B91740" w:rsidRPr="00E465D0">
        <w:rPr>
          <w:noProof/>
        </w:rPr>
        <w:t>, a generalized version of the</w:t>
      </w:r>
      <w:r w:rsidR="000740BB" w:rsidRPr="00E465D0">
        <w:rPr>
          <w:noProof/>
        </w:rPr>
        <w:t xml:space="preserve"> Poisson</w:t>
      </w:r>
      <w:r w:rsidR="00B91740" w:rsidRPr="00E465D0">
        <w:rPr>
          <w:noProof/>
        </w:rPr>
        <w:t xml:space="preserve"> count model may be written as: </w:t>
      </w:r>
    </w:p>
    <w:p w14:paraId="2FFA7911" w14:textId="17ED7E9E" w:rsidR="00045661" w:rsidRPr="00E465D0" w:rsidRDefault="00276807" w:rsidP="009C5C94">
      <w:pPr>
        <w:tabs>
          <w:tab w:val="right" w:pos="9360"/>
        </w:tabs>
        <w:spacing w:before="60" w:after="60"/>
        <w:rPr>
          <w:noProof/>
        </w:rPr>
      </w:pPr>
      <w:r w:rsidRPr="00E465D0">
        <w:rPr>
          <w:noProof/>
          <w:position w:val="-28"/>
        </w:rPr>
        <w:object w:dxaOrig="5640" w:dyaOrig="700" w14:anchorId="176CF045">
          <v:shape id="_x0000_i1045" type="#_x0000_t75" style="width:282pt;height:35.55pt" o:ole="" o:preferrelative="f">
            <v:imagedata r:id="rId49" o:title=""/>
            <o:lock v:ext="edit" aspectratio="f"/>
          </v:shape>
          <o:OLEObject Type="Embed" ProgID="Equation.DSMT4" ShapeID="_x0000_i1045" DrawAspect="Content" ObjectID="_1784383199" r:id="rId50"/>
        </w:object>
      </w:r>
      <w:r w:rsidR="00B91740" w:rsidRPr="00E465D0">
        <w:rPr>
          <w:noProof/>
        </w:rPr>
        <w:t xml:space="preserve">     </w:t>
      </w:r>
      <w:r w:rsidR="003D216C" w:rsidRPr="00E465D0">
        <w:rPr>
          <w:noProof/>
        </w:rPr>
        <w:t xml:space="preserve">                                           </w:t>
      </w:r>
      <w:r w:rsidR="0039755C" w:rsidRPr="00E465D0">
        <w:rPr>
          <w:noProof/>
        </w:rPr>
        <w:t xml:space="preserve">  </w:t>
      </w:r>
      <w:r w:rsidR="003D216C" w:rsidRPr="00E465D0">
        <w:rPr>
          <w:noProof/>
        </w:rPr>
        <w:t xml:space="preserve">        (3)</w:t>
      </w:r>
    </w:p>
    <w:p w14:paraId="5F3D465D" w14:textId="1C3462C2" w:rsidR="00496FA7" w:rsidRPr="00E465D0" w:rsidRDefault="00496FA7" w:rsidP="00E84B6A">
      <w:pPr>
        <w:tabs>
          <w:tab w:val="right" w:pos="9360"/>
        </w:tabs>
        <w:spacing w:after="0"/>
        <w:rPr>
          <w:noProof/>
        </w:rPr>
      </w:pPr>
      <w:r w:rsidRPr="00E465D0">
        <w:rPr>
          <w:noProof/>
        </w:rPr>
        <w:t xml:space="preserve">where </w:t>
      </w:r>
      <w:r w:rsidR="00276807" w:rsidRPr="00E465D0">
        <w:rPr>
          <w:color w:val="000000" w:themeColor="text1"/>
          <w:position w:val="-12"/>
        </w:rPr>
        <w:object w:dxaOrig="279" w:dyaOrig="360" w14:anchorId="3F03A341">
          <v:shape id="_x0000_i1046" type="#_x0000_t75" style="width:13.3pt;height:18.45pt" o:ole="" o:preferrelative="f">
            <v:imagedata r:id="rId51" o:title=""/>
            <o:lock v:ext="edit" aspectratio="f"/>
          </v:shape>
          <o:OLEObject Type="Embed" ProgID="Equation.DSMT4" ShapeID="_x0000_i1046" DrawAspect="Content" ObjectID="_1784383200" r:id="rId52"/>
        </w:object>
      </w:r>
      <w:r w:rsidRPr="00E465D0">
        <w:rPr>
          <w:color w:val="000000" w:themeColor="text1"/>
        </w:rPr>
        <w:t xml:space="preserve"> is a standard normal random error term</w:t>
      </w:r>
      <w:r w:rsidR="00470F1C" w:rsidRPr="00E465D0">
        <w:rPr>
          <w:color w:val="000000" w:themeColor="text1"/>
        </w:rPr>
        <w:t xml:space="preserve">, </w:t>
      </w:r>
      <w:r w:rsidR="00276807" w:rsidRPr="00E465D0">
        <w:rPr>
          <w:position w:val="-14"/>
        </w:rPr>
        <w:object w:dxaOrig="400" w:dyaOrig="380" w14:anchorId="0971C12F">
          <v:shape id="_x0000_i1047" type="#_x0000_t75" style="width:20.55pt;height:18.85pt" o:ole="" o:preferrelative="f">
            <v:imagedata r:id="rId53" o:title=""/>
            <o:lock v:ext="edit" aspectratio="f"/>
          </v:shape>
          <o:OLEObject Type="Embed" ProgID="Equation.DSMT4" ShapeID="_x0000_i1047" DrawAspect="Content" ObjectID="_1784383201" r:id="rId54"/>
        </w:object>
      </w:r>
      <w:r w:rsidR="00470F1C" w:rsidRPr="00E465D0">
        <w:t xml:space="preserve"> represent thresholds </w:t>
      </w:r>
      <w:r w:rsidRPr="00E465D0">
        <w:rPr>
          <w:color w:val="000000" w:themeColor="text1"/>
        </w:rPr>
        <w:t>th</w:t>
      </w:r>
      <w:r w:rsidR="00470F1C" w:rsidRPr="00E465D0">
        <w:rPr>
          <w:color w:val="000000" w:themeColor="text1"/>
        </w:rPr>
        <w:t xml:space="preserve">at </w:t>
      </w:r>
      <w:r w:rsidRPr="00E465D0">
        <w:rPr>
          <w:color w:val="000000" w:themeColor="text1"/>
        </w:rPr>
        <w:t>satisfy the ordering conditions</w:t>
      </w:r>
      <w:r w:rsidR="00276807" w:rsidRPr="00E465D0">
        <w:rPr>
          <w:color w:val="000000" w:themeColor="text1"/>
          <w:position w:val="-14"/>
        </w:rPr>
        <w:object w:dxaOrig="1080" w:dyaOrig="380" w14:anchorId="515E8A82">
          <v:shape id="_x0000_i1048" type="#_x0000_t75" style="width:54.45pt;height:17.55pt" o:ole="" o:preferrelative="f">
            <v:imagedata r:id="rId55" o:title=""/>
            <o:lock v:ext="edit" aspectratio="f"/>
          </v:shape>
          <o:OLEObject Type="Embed" ProgID="Equation.DSMT4" ShapeID="_x0000_i1048" DrawAspect="Content" ObjectID="_1784383202" r:id="rId56"/>
        </w:object>
      </w:r>
      <w:r w:rsidRPr="00E465D0">
        <w:rPr>
          <w:color w:val="000000" w:themeColor="text1"/>
        </w:rPr>
        <w:t>;</w:t>
      </w:r>
      <w:r w:rsidRPr="00E465D0">
        <w:rPr>
          <w:color w:val="000000" w:themeColor="text1"/>
          <w:position w:val="-4"/>
        </w:rPr>
        <w:object w:dxaOrig="380" w:dyaOrig="200" w14:anchorId="32F4781E">
          <v:shape id="_x0000_i1049" type="#_x0000_t75" style="width:18.85pt;height:10.7pt" o:ole="" o:preferrelative="f">
            <v:imagedata r:id="rId57" o:title=""/>
            <o:lock v:ext="edit" aspectratio="f"/>
          </v:shape>
          <o:OLEObject Type="Embed" ProgID="Equation.DSMT4" ShapeID="_x0000_i1049" DrawAspect="Content" ObjectID="_1784383203" r:id="rId58"/>
        </w:object>
      </w:r>
      <w:r w:rsidRPr="00E465D0">
        <w:rPr>
          <w:color w:val="000000" w:themeColor="text1"/>
        </w:rPr>
        <w:t xml:space="preserve">&lt; </w:t>
      </w:r>
      <w:r w:rsidR="00276807" w:rsidRPr="00E465D0">
        <w:rPr>
          <w:color w:val="000000" w:themeColor="text1"/>
          <w:position w:val="-14"/>
        </w:rPr>
        <w:object w:dxaOrig="1960" w:dyaOrig="380" w14:anchorId="67B0D709">
          <v:shape id="_x0000_i1050" type="#_x0000_t75" style="width:97.7pt;height:17.55pt" o:ole="" o:preferrelative="f">
            <v:imagedata r:id="rId59" o:title=""/>
            <o:lock v:ext="edit" aspectratio="f"/>
          </v:shape>
          <o:OLEObject Type="Embed" ProgID="Equation.DSMT4" ShapeID="_x0000_i1050" DrawAspect="Content" ObjectID="_1784383204" r:id="rId60"/>
        </w:object>
      </w:r>
      <w:r w:rsidRPr="00E465D0">
        <w:rPr>
          <w:color w:val="000000" w:themeColor="text1"/>
        </w:rPr>
        <w:t xml:space="preserve"> in the usual ordered-response fashion, </w:t>
      </w:r>
      <w:r w:rsidR="00276807" w:rsidRPr="00E465D0">
        <w:rPr>
          <w:position w:val="-14"/>
        </w:rPr>
        <w:object w:dxaOrig="720" w:dyaOrig="380" w14:anchorId="66A80116">
          <v:shape id="_x0000_i1051" type="#_x0000_t75" style="width:36pt;height:18.85pt" o:ole="" o:preferrelative="f">
            <v:imagedata r:id="rId61" o:title=""/>
            <o:lock v:ext="edit" aspectratio="f"/>
          </v:shape>
          <o:OLEObject Type="Embed" ProgID="Equation.DSMT4" ShapeID="_x0000_i1051" DrawAspect="Content" ObjectID="_1784383205" r:id="rId62"/>
        </w:object>
      </w:r>
      <w:r w:rsidR="00470F1C" w:rsidRPr="00E465D0">
        <w:t xml:space="preserve"> </w:t>
      </w:r>
      <w:r w:rsidRPr="00E465D0">
        <w:rPr>
          <w:color w:val="000000" w:themeColor="text1"/>
        </w:rPr>
        <w:t>is a non-linear function of a vector o</w:t>
      </w:r>
      <w:r w:rsidR="00470F1C" w:rsidRPr="00E465D0">
        <w:rPr>
          <w:color w:val="000000" w:themeColor="text1"/>
        </w:rPr>
        <w:t xml:space="preserve">f individual exogenous variables </w:t>
      </w:r>
      <w:r w:rsidRPr="00E465D0">
        <w:rPr>
          <w:color w:val="000000" w:themeColor="text1"/>
        </w:rPr>
        <w:t>(</w:t>
      </w:r>
      <w:r w:rsidR="00276807" w:rsidRPr="00E465D0">
        <w:rPr>
          <w:color w:val="000000" w:themeColor="text1"/>
          <w:position w:val="-4"/>
        </w:rPr>
        <w:object w:dxaOrig="200" w:dyaOrig="200" w14:anchorId="753D21BD">
          <v:shape id="_x0000_i1052" type="#_x0000_t75" style="width:10.3pt;height:10.3pt" o:ole="">
            <v:imagedata r:id="rId63" o:title=""/>
          </v:shape>
          <o:OLEObject Type="Embed" ProgID="Equation.DSMT4" ShapeID="_x0000_i1052" DrawAspect="Content" ObjectID="_1784383206" r:id="rId64"/>
        </w:object>
      </w:r>
      <w:r w:rsidRPr="00E465D0">
        <w:rPr>
          <w:color w:val="000000" w:themeColor="text1"/>
        </w:rPr>
        <w:t xml:space="preserve"> includes a constant), and </w:t>
      </w:r>
      <w:r w:rsidR="00276807" w:rsidRPr="00E465D0">
        <w:rPr>
          <w:color w:val="000000" w:themeColor="text1"/>
          <w:position w:val="-12"/>
        </w:rPr>
        <w:object w:dxaOrig="340" w:dyaOrig="360" w14:anchorId="45445482">
          <v:shape id="_x0000_i1053" type="#_x0000_t75" style="width:17.15pt;height:18.45pt" o:ole="" o:preferrelative="f">
            <v:imagedata r:id="rId65" o:title=""/>
            <o:lock v:ext="edit" aspectratio="f"/>
          </v:shape>
          <o:OLEObject Type="Embed" ProgID="Equation.DSMT4" ShapeID="_x0000_i1053" DrawAspect="Content" ObjectID="_1784383207" r:id="rId66"/>
        </w:object>
      </w:r>
      <w:r w:rsidRPr="00E465D0">
        <w:rPr>
          <w:color w:val="000000" w:themeColor="text1"/>
        </w:rPr>
        <w:t xml:space="preserve"> is a scalar similar to the thresholds in a standard ordered-response model </w:t>
      </w:r>
      <w:r w:rsidR="00276807" w:rsidRPr="00E465D0">
        <w:rPr>
          <w:color w:val="000000" w:themeColor="text1"/>
          <w:position w:val="-14"/>
        </w:rPr>
        <w:object w:dxaOrig="2040" w:dyaOrig="380" w14:anchorId="696ADB03">
          <v:shape id="_x0000_i1054" type="#_x0000_t75" style="width:102pt;height:18.85pt" o:ole="" o:preferrelative="f">
            <v:imagedata r:id="rId67" o:title=""/>
            <o:lock v:ext="edit" aspectratio="f"/>
          </v:shape>
          <o:OLEObject Type="Embed" ProgID="Equation.DSMT4" ShapeID="_x0000_i1054" DrawAspect="Content" ObjectID="_1784383208" r:id="rId68"/>
        </w:object>
      </w:r>
      <w:r w:rsidRPr="00E465D0">
        <w:rPr>
          <w:color w:val="000000" w:themeColor="text1"/>
        </w:rPr>
        <w:t xml:space="preserve"> for identification, where </w:t>
      </w:r>
      <w:r w:rsidR="00470F1C" w:rsidRPr="00E465D0">
        <w:rPr>
          <w:i/>
          <w:iCs/>
          <w:color w:val="000000" w:themeColor="text1"/>
        </w:rPr>
        <w:t>M</w:t>
      </w:r>
      <w:r w:rsidR="00173897" w:rsidRPr="00E465D0">
        <w:rPr>
          <w:i/>
          <w:iCs/>
          <w:color w:val="000000" w:themeColor="text1"/>
          <w:vertAlign w:val="subscript"/>
        </w:rPr>
        <w:t>c</w:t>
      </w:r>
      <w:r w:rsidRPr="00E465D0">
        <w:rPr>
          <w:color w:val="000000" w:themeColor="text1"/>
        </w:rPr>
        <w:t xml:space="preserve"> is the largest </w:t>
      </w:r>
      <w:r w:rsidR="00173897" w:rsidRPr="00E465D0">
        <w:rPr>
          <w:color w:val="000000" w:themeColor="text1"/>
        </w:rPr>
        <w:t xml:space="preserve">observed </w:t>
      </w:r>
      <w:r w:rsidRPr="00E465D0">
        <w:rPr>
          <w:color w:val="000000" w:themeColor="text1"/>
        </w:rPr>
        <w:t xml:space="preserve">count value </w:t>
      </w:r>
      <w:r w:rsidR="00173897" w:rsidRPr="00E465D0">
        <w:rPr>
          <w:color w:val="000000" w:themeColor="text1"/>
        </w:rPr>
        <w:t xml:space="preserve">for count outcome </w:t>
      </w:r>
      <w:r w:rsidR="00173897" w:rsidRPr="00E465D0">
        <w:rPr>
          <w:i/>
          <w:iCs/>
          <w:color w:val="000000" w:themeColor="text1"/>
        </w:rPr>
        <w:t>c</w:t>
      </w:r>
      <w:r w:rsidR="00173897" w:rsidRPr="00E465D0">
        <w:rPr>
          <w:color w:val="000000" w:themeColor="text1"/>
        </w:rPr>
        <w:t xml:space="preserve"> </w:t>
      </w:r>
      <w:r w:rsidRPr="00E465D0">
        <w:rPr>
          <w:color w:val="000000" w:themeColor="text1"/>
        </w:rPr>
        <w:t>in the estimation sample</w:t>
      </w:r>
      <w:r w:rsidR="00B03A6B" w:rsidRPr="00E465D0">
        <w:rPr>
          <w:color w:val="000000" w:themeColor="text1"/>
        </w:rPr>
        <w:t xml:space="preserve">; </w:t>
      </w:r>
      <w:r w:rsidR="00173897" w:rsidRPr="00E465D0">
        <w:rPr>
          <w:color w:val="000000" w:themeColor="text1"/>
        </w:rPr>
        <w:t xml:space="preserve">in our analysis, </w:t>
      </w:r>
      <w:r w:rsidR="00173897" w:rsidRPr="00E465D0">
        <w:rPr>
          <w:i/>
          <w:iCs/>
          <w:color w:val="000000" w:themeColor="text1"/>
        </w:rPr>
        <w:t>M</w:t>
      </w:r>
      <w:r w:rsidR="00173897" w:rsidRPr="00E465D0">
        <w:rPr>
          <w:i/>
          <w:iCs/>
          <w:color w:val="000000" w:themeColor="text1"/>
          <w:vertAlign w:val="subscript"/>
        </w:rPr>
        <w:t>c</w:t>
      </w:r>
      <w:r w:rsidR="00173897" w:rsidRPr="00E465D0">
        <w:rPr>
          <w:color w:val="000000" w:themeColor="text1"/>
        </w:rPr>
        <w:t xml:space="preserve"> =15 for both the maintenance and leisure count outcomes). </w:t>
      </w:r>
      <w:r w:rsidR="000D0954" w:rsidRPr="00E465D0">
        <w:rPr>
          <w:color w:val="000000" w:themeColor="text1"/>
        </w:rPr>
        <w:t xml:space="preserve">The </w:t>
      </w:r>
      <w:r w:rsidR="00276807" w:rsidRPr="00E465D0">
        <w:rPr>
          <w:color w:val="000000" w:themeColor="text1"/>
          <w:position w:val="-12"/>
        </w:rPr>
        <w:object w:dxaOrig="340" w:dyaOrig="360" w14:anchorId="4EEC56C7">
          <v:shape id="_x0000_i1055" type="#_x0000_t75" style="width:17.15pt;height:18.45pt" o:ole="" o:preferrelative="f">
            <v:imagedata r:id="rId65" o:title=""/>
            <o:lock v:ext="edit" aspectratio="f"/>
          </v:shape>
          <o:OLEObject Type="Embed" ProgID="Equation.DSMT4" ShapeID="_x0000_i1055" DrawAspect="Content" ObjectID="_1784383209" r:id="rId69"/>
        </w:object>
      </w:r>
      <w:r w:rsidR="000D0954" w:rsidRPr="00E465D0">
        <w:rPr>
          <w:color w:val="000000" w:themeColor="text1"/>
        </w:rPr>
        <w:t xml:space="preserve"> terms provide flexibility to accommodate high or low-probability masses for specific count </w:t>
      </w:r>
      <w:r w:rsidR="00173897" w:rsidRPr="00E465D0">
        <w:rPr>
          <w:color w:val="000000" w:themeColor="text1"/>
        </w:rPr>
        <w:t>values and can take values of zero for some count values</w:t>
      </w:r>
      <w:r w:rsidR="000D0954" w:rsidRPr="00E465D0">
        <w:rPr>
          <w:color w:val="000000" w:themeColor="text1"/>
        </w:rPr>
        <w:t xml:space="preserve">. </w:t>
      </w:r>
      <w:r w:rsidR="00470F1C" w:rsidRPr="00E465D0">
        <w:rPr>
          <w:color w:val="000000" w:themeColor="text1"/>
        </w:rPr>
        <w:t xml:space="preserve">The non-linear function </w:t>
      </w:r>
      <w:r w:rsidR="00276807" w:rsidRPr="00E465D0">
        <w:rPr>
          <w:position w:val="-14"/>
        </w:rPr>
        <w:object w:dxaOrig="720" w:dyaOrig="380" w14:anchorId="462B1612">
          <v:shape id="_x0000_i1056" type="#_x0000_t75" style="width:36pt;height:18.85pt" o:ole="" o:preferrelative="f">
            <v:imagedata r:id="rId61" o:title=""/>
            <o:lock v:ext="edit" aspectratio="f"/>
          </v:shape>
          <o:OLEObject Type="Embed" ProgID="Equation.DSMT4" ShapeID="_x0000_i1056" DrawAspect="Content" ObjectID="_1784383210" r:id="rId70"/>
        </w:object>
      </w:r>
      <w:r w:rsidR="00470F1C" w:rsidRPr="00E465D0">
        <w:t xml:space="preserve"> takes the following form:</w:t>
      </w:r>
    </w:p>
    <w:p w14:paraId="4CC15465" w14:textId="6CBD9470" w:rsidR="00496FA7" w:rsidRPr="00E465D0" w:rsidRDefault="00276807" w:rsidP="009C5C94">
      <w:pPr>
        <w:tabs>
          <w:tab w:val="right" w:pos="9360"/>
        </w:tabs>
        <w:spacing w:before="60" w:after="60"/>
        <w:rPr>
          <w:color w:val="000000" w:themeColor="text1"/>
        </w:rPr>
      </w:pPr>
      <w:r w:rsidRPr="00E465D0">
        <w:rPr>
          <w:color w:val="000000" w:themeColor="text1"/>
          <w:position w:val="-32"/>
        </w:rPr>
        <w:object w:dxaOrig="2439" w:dyaOrig="760" w14:anchorId="1CDB3C53">
          <v:shape id="_x0000_i1057" type="#_x0000_t75" style="width:122.15pt;height:38.55pt" o:ole="" o:preferrelative="f">
            <v:imagedata r:id="rId71" o:title=""/>
            <o:lock v:ext="edit" aspectratio="f"/>
          </v:shape>
          <o:OLEObject Type="Embed" ProgID="Equation.DSMT4" ShapeID="_x0000_i1057" DrawAspect="Content" ObjectID="_1784383211" r:id="rId72"/>
        </w:object>
      </w:r>
      <w:r w:rsidR="00496FA7" w:rsidRPr="00E465D0">
        <w:rPr>
          <w:color w:val="000000" w:themeColor="text1"/>
        </w:rPr>
        <w:t xml:space="preserve">, with </w:t>
      </w:r>
      <w:r w:rsidRPr="00E465D0">
        <w:rPr>
          <w:color w:val="000000" w:themeColor="text1"/>
          <w:position w:val="-12"/>
        </w:rPr>
        <w:object w:dxaOrig="900" w:dyaOrig="380" w14:anchorId="21A5F10E">
          <v:shape id="_x0000_i1058" type="#_x0000_t75" style="width:45pt;height:18.85pt" o:ole="" o:preferrelative="f">
            <v:imagedata r:id="rId73" o:title=""/>
            <o:lock v:ext="edit" aspectratio="f"/>
          </v:shape>
          <o:OLEObject Type="Embed" ProgID="Equation.DSMT4" ShapeID="_x0000_i1058" DrawAspect="Content" ObjectID="_1784383212" r:id="rId74"/>
        </w:object>
      </w:r>
      <w:r w:rsidR="00496FA7" w:rsidRPr="00E465D0">
        <w:rPr>
          <w:color w:val="000000" w:themeColor="text1"/>
        </w:rPr>
        <w:t xml:space="preserve">, </w:t>
      </w:r>
      <w:r w:rsidR="003D216C" w:rsidRPr="00E465D0">
        <w:rPr>
          <w:color w:val="000000" w:themeColor="text1"/>
        </w:rPr>
        <w:t xml:space="preserve">                                                                          </w:t>
      </w:r>
      <w:r w:rsidR="0039755C" w:rsidRPr="00E465D0">
        <w:rPr>
          <w:color w:val="000000" w:themeColor="text1"/>
        </w:rPr>
        <w:t xml:space="preserve">   </w:t>
      </w:r>
      <w:r w:rsidR="003D216C" w:rsidRPr="00E465D0">
        <w:rPr>
          <w:color w:val="000000" w:themeColor="text1"/>
        </w:rPr>
        <w:t xml:space="preserve">        (4)</w:t>
      </w:r>
    </w:p>
    <w:p w14:paraId="6A7DA9B6" w14:textId="06AFCC2D" w:rsidR="00B91740" w:rsidRPr="00E465D0" w:rsidRDefault="001C7B05" w:rsidP="00E84B6A">
      <w:pPr>
        <w:spacing w:after="0"/>
        <w:contextualSpacing/>
        <w:rPr>
          <w:noProof/>
        </w:rPr>
      </w:pPr>
      <w:r w:rsidRPr="00E465D0">
        <w:rPr>
          <w:color w:val="000000" w:themeColor="text1"/>
        </w:rPr>
        <w:t xml:space="preserve">where </w:t>
      </w:r>
      <w:r w:rsidR="00276807" w:rsidRPr="00E465D0">
        <w:rPr>
          <w:color w:val="000000" w:themeColor="text1"/>
          <w:position w:val="-4"/>
        </w:rPr>
        <w:object w:dxaOrig="420" w:dyaOrig="300" w14:anchorId="705F41D6">
          <v:shape id="_x0000_i1059" type="#_x0000_t75" style="width:21pt;height:15pt" o:ole="" o:preferrelative="f">
            <v:imagedata r:id="rId75" o:title=""/>
            <o:lock v:ext="edit" aspectratio="f"/>
          </v:shape>
          <o:OLEObject Type="Embed" ProgID="Equation.3" ShapeID="_x0000_i1059" DrawAspect="Content" ObjectID="_1784383213" r:id="rId76"/>
        </w:object>
      </w:r>
      <w:r w:rsidRPr="00E465D0">
        <w:rPr>
          <w:color w:val="000000" w:themeColor="text1"/>
        </w:rPr>
        <w:t xml:space="preserve"> is the inverse function of the univariate cumulative standard normal, and </w:t>
      </w:r>
      <w:r w:rsidR="00276807" w:rsidRPr="00E465D0">
        <w:rPr>
          <w:color w:val="000000" w:themeColor="text1"/>
          <w:position w:val="-12"/>
        </w:rPr>
        <w:object w:dxaOrig="279" w:dyaOrig="360" w14:anchorId="116D94DF">
          <v:shape id="_x0000_i1060" type="#_x0000_t75" style="width:13.3pt;height:18.45pt" o:ole="" o:preferrelative="f">
            <v:imagedata r:id="rId77" o:title=""/>
            <o:lock v:ext="edit" aspectratio="f"/>
          </v:shape>
          <o:OLEObject Type="Embed" ProgID="Equation.DSMT4" ShapeID="_x0000_i1060" DrawAspect="Content" ObjectID="_1784383214" r:id="rId78"/>
        </w:object>
      </w:r>
      <w:r w:rsidRPr="00E465D0">
        <w:rPr>
          <w:color w:val="000000" w:themeColor="text1"/>
        </w:rPr>
        <w:t xml:space="preserve"> is a coefficient vector to be </w:t>
      </w:r>
      <w:proofErr w:type="gramStart"/>
      <w:r w:rsidRPr="00E465D0">
        <w:rPr>
          <w:color w:val="000000" w:themeColor="text1"/>
        </w:rPr>
        <w:t>estimated.</w:t>
      </w:r>
      <w:proofErr w:type="gramEnd"/>
      <w:r w:rsidRPr="00E465D0">
        <w:rPr>
          <w:color w:val="000000" w:themeColor="text1"/>
        </w:rPr>
        <w:t xml:space="preserve"> Some elements of </w:t>
      </w:r>
      <w:r w:rsidR="00276807" w:rsidRPr="00E465D0">
        <w:rPr>
          <w:color w:val="000000" w:themeColor="text1"/>
          <w:position w:val="-12"/>
        </w:rPr>
        <w:object w:dxaOrig="279" w:dyaOrig="360" w14:anchorId="06C4A2CD">
          <v:shape id="_x0000_i1061" type="#_x0000_t75" style="width:13.3pt;height:18.45pt" o:ole="" o:preferrelative="f">
            <v:imagedata r:id="rId77" o:title=""/>
            <o:lock v:ext="edit" aspectratio="f"/>
          </v:shape>
          <o:OLEObject Type="Embed" ProgID="Equation.DSMT4" ShapeID="_x0000_i1061" DrawAspect="Content" ObjectID="_1784383215" r:id="rId79"/>
        </w:object>
      </w:r>
      <w:r w:rsidR="00134836" w:rsidRPr="00E465D0">
        <w:rPr>
          <w:color w:val="000000" w:themeColor="text1"/>
        </w:rPr>
        <w:t xml:space="preserve"> </w:t>
      </w:r>
      <w:r w:rsidRPr="00E465D0">
        <w:rPr>
          <w:color w:val="000000" w:themeColor="text1"/>
        </w:rPr>
        <w:t xml:space="preserve">will be zero, though not the coefficient on the constant in the vector </w:t>
      </w:r>
      <w:r w:rsidR="00276807" w:rsidRPr="00E465D0">
        <w:rPr>
          <w:position w:val="-4"/>
        </w:rPr>
        <w:object w:dxaOrig="200" w:dyaOrig="200" w14:anchorId="57F480CD">
          <v:shape id="_x0000_i1062" type="#_x0000_t75" style="width:10.3pt;height:10.3pt" o:ole="" o:preferrelative="f">
            <v:imagedata r:id="rId19" o:title=""/>
            <o:lock v:ext="edit" aspectratio="f"/>
          </v:shape>
          <o:OLEObject Type="Embed" ProgID="Equation.DSMT4" ShapeID="_x0000_i1062" DrawAspect="Content" ObjectID="_1784383216" r:id="rId80"/>
        </w:object>
      </w:r>
      <w:r w:rsidRPr="00E465D0">
        <w:rPr>
          <w:color w:val="000000" w:themeColor="text1"/>
        </w:rPr>
        <w:t xml:space="preserve"> (for later use, we will refer to the coefficient in </w:t>
      </w:r>
      <w:r w:rsidR="00276807" w:rsidRPr="00E465D0">
        <w:rPr>
          <w:color w:val="000000" w:themeColor="text1"/>
          <w:position w:val="-12"/>
        </w:rPr>
        <w:object w:dxaOrig="279" w:dyaOrig="360" w14:anchorId="5370E585">
          <v:shape id="_x0000_i1063" type="#_x0000_t75" style="width:13.3pt;height:18.45pt" o:ole="" o:preferrelative="f">
            <v:imagedata r:id="rId77" o:title=""/>
            <o:lock v:ext="edit" aspectratio="f"/>
          </v:shape>
          <o:OLEObject Type="Embed" ProgID="Equation.DSMT4" ShapeID="_x0000_i1063" DrawAspect="Content" ObjectID="_1784383217" r:id="rId81"/>
        </w:object>
      </w:r>
      <w:r w:rsidR="00134836" w:rsidRPr="00E465D0">
        <w:rPr>
          <w:color w:val="000000" w:themeColor="text1"/>
        </w:rPr>
        <w:t xml:space="preserve"> </w:t>
      </w:r>
      <w:r w:rsidRPr="00E465D0">
        <w:rPr>
          <w:color w:val="000000" w:themeColor="text1"/>
        </w:rPr>
        <w:t xml:space="preserve">corresponding to the constant as the “gamma constant”; note also </w:t>
      </w:r>
      <w:r w:rsidRPr="00E465D0">
        <w:t xml:space="preserve">that the vector </w:t>
      </w:r>
      <w:r w:rsidR="00276807" w:rsidRPr="00E465D0">
        <w:rPr>
          <w:position w:val="-4"/>
        </w:rPr>
        <w:object w:dxaOrig="200" w:dyaOrig="200" w14:anchorId="4530A9D5">
          <v:shape id="_x0000_i1064" type="#_x0000_t75" style="width:10.3pt;height:10.3pt" o:ole="" o:preferrelative="f">
            <v:imagedata r:id="rId19" o:title=""/>
            <o:lock v:ext="edit" aspectratio="f"/>
          </v:shape>
          <o:OLEObject Type="Embed" ProgID="Equation.DSMT4" ShapeID="_x0000_i1064" DrawAspect="Content" ObjectID="_1784383218" r:id="rId82"/>
        </w:object>
      </w:r>
      <w:r w:rsidRPr="00E465D0">
        <w:t xml:space="preserve"> in Equation (4) includes variables corresponding to telework intensity for the TN segment, but these variables do not appear for the NT segment)</w:t>
      </w:r>
      <w:r w:rsidRPr="00E465D0">
        <w:rPr>
          <w:color w:val="000000" w:themeColor="text1"/>
        </w:rPr>
        <w:t xml:space="preserve">. </w:t>
      </w:r>
      <w:r w:rsidR="000D0954" w:rsidRPr="00E465D0">
        <w:rPr>
          <w:color w:val="000000" w:themeColor="text1"/>
        </w:rPr>
        <w:t xml:space="preserve"> If </w:t>
      </w:r>
      <w:r w:rsidR="00496FA7" w:rsidRPr="00E465D0">
        <w:rPr>
          <w:color w:val="000000" w:themeColor="text1"/>
        </w:rPr>
        <w:t xml:space="preserve"> </w:t>
      </w:r>
      <w:r w:rsidR="00276807" w:rsidRPr="00E465D0">
        <w:rPr>
          <w:color w:val="000000" w:themeColor="text1"/>
          <w:position w:val="-12"/>
        </w:rPr>
        <w:object w:dxaOrig="720" w:dyaOrig="360" w14:anchorId="1637B475">
          <v:shape id="_x0000_i1065" type="#_x0000_t75" style="width:36pt;height:18.45pt" o:ole="" o:preferrelative="f">
            <v:imagedata r:id="rId83" o:title=""/>
            <o:lock v:ext="edit" aspectratio="f"/>
          </v:shape>
          <o:OLEObject Type="Embed" ProgID="Equation.DSMT4" ShapeID="_x0000_i1065" DrawAspect="Content" ObjectID="_1784383219" r:id="rId84"/>
        </w:object>
      </w:r>
      <w:r w:rsidR="000D0954" w:rsidRPr="00E465D0">
        <w:rPr>
          <w:color w:val="000000" w:themeColor="text1"/>
        </w:rPr>
        <w:t xml:space="preserve"> for all </w:t>
      </w:r>
      <w:r w:rsidR="000D0954" w:rsidRPr="00E465D0">
        <w:rPr>
          <w:i/>
          <w:iCs/>
          <w:color w:val="000000" w:themeColor="text1"/>
        </w:rPr>
        <w:t>l</w:t>
      </w:r>
      <w:r w:rsidR="000D0954" w:rsidRPr="00E465D0">
        <w:rPr>
          <w:color w:val="000000" w:themeColor="text1"/>
        </w:rPr>
        <w:t>, the set up in Equation (</w:t>
      </w:r>
      <w:r w:rsidR="00BB4696" w:rsidRPr="00E465D0">
        <w:rPr>
          <w:color w:val="000000" w:themeColor="text1"/>
        </w:rPr>
        <w:t>3</w:t>
      </w:r>
      <w:r w:rsidR="000D0954" w:rsidRPr="00E465D0">
        <w:rPr>
          <w:color w:val="000000" w:themeColor="text1"/>
        </w:rPr>
        <w:t xml:space="preserve">) collapses to a traditional Poisson count model, as shown in Bhat (2014). </w:t>
      </w:r>
      <w:r w:rsidR="00B03A6B" w:rsidRPr="00E465D0">
        <w:rPr>
          <w:color w:val="000000" w:themeColor="text1"/>
        </w:rPr>
        <w:t xml:space="preserve">Next, define </w:t>
      </w:r>
      <w:r w:rsidR="000D0954" w:rsidRPr="00E465D0">
        <w:rPr>
          <w:color w:val="000000" w:themeColor="text1"/>
        </w:rPr>
        <w:t xml:space="preserve"> </w:t>
      </w:r>
      <w:r w:rsidR="00276807" w:rsidRPr="00E465D0">
        <w:rPr>
          <w:noProof/>
          <w:position w:val="-14"/>
        </w:rPr>
        <w:object w:dxaOrig="2420" w:dyaOrig="380" w14:anchorId="5B71789C">
          <v:shape id="_x0000_i1066" type="#_x0000_t75" style="width:120.85pt;height:17.55pt" o:ole="" o:preferrelative="f">
            <v:imagedata r:id="rId85" o:title=""/>
            <o:lock v:ext="edit" aspectratio="f"/>
          </v:shape>
          <o:OLEObject Type="Embed" ProgID="Equation.DSMT4" ShapeID="_x0000_i1066" DrawAspect="Content" ObjectID="_1784383220" r:id="rId86"/>
        </w:object>
      </w:r>
      <w:r w:rsidR="00B91740" w:rsidRPr="00E465D0">
        <w:rPr>
          <w:noProof/>
        </w:rPr>
        <w:t xml:space="preserve"> </w:t>
      </w:r>
      <w:r w:rsidR="00173897" w:rsidRPr="00E465D0">
        <w:rPr>
          <w:noProof/>
        </w:rPr>
        <w:t xml:space="preserve">, </w:t>
      </w:r>
      <w:r w:rsidR="00276807" w:rsidRPr="00E465D0">
        <w:rPr>
          <w:noProof/>
          <w:position w:val="-14"/>
        </w:rPr>
        <w:object w:dxaOrig="2079" w:dyaOrig="380" w14:anchorId="25AE5E7B">
          <v:shape id="_x0000_i1067" type="#_x0000_t75" style="width:103.7pt;height:17.55pt" o:ole="" o:preferrelative="f">
            <v:imagedata r:id="rId87" o:title=""/>
            <o:lock v:ext="edit" aspectratio="f"/>
          </v:shape>
          <o:OLEObject Type="Embed" ProgID="Equation.DSMT4" ShapeID="_x0000_i1067" DrawAspect="Content" ObjectID="_1784383221" r:id="rId88"/>
        </w:object>
      </w:r>
      <w:r w:rsidR="00B47261" w:rsidRPr="00E465D0">
        <w:rPr>
          <w:noProof/>
        </w:rPr>
        <w:t xml:space="preserve">, </w:t>
      </w:r>
      <w:r w:rsidR="00276807" w:rsidRPr="00E465D0">
        <w:rPr>
          <w:noProof/>
          <w:position w:val="-12"/>
        </w:rPr>
        <w:object w:dxaOrig="1800" w:dyaOrig="360" w14:anchorId="743F3FF7">
          <v:shape id="_x0000_i1068" type="#_x0000_t75" style="width:90.45pt;height:18.45pt" o:ole="" o:preferrelative="f">
            <v:imagedata r:id="rId89" o:title=""/>
            <o:lock v:ext="edit" aspectratio="f"/>
          </v:shape>
          <o:OLEObject Type="Embed" ProgID="Equation.DSMT4" ShapeID="_x0000_i1068" DrawAspect="Content" ObjectID="_1784383222" r:id="rId90"/>
        </w:object>
      </w:r>
      <w:r w:rsidR="00173897" w:rsidRPr="00E465D0">
        <w:rPr>
          <w:noProof/>
        </w:rPr>
        <w:t>,</w:t>
      </w:r>
      <w:r w:rsidR="00B47261" w:rsidRPr="00E465D0">
        <w:rPr>
          <w:noProof/>
        </w:rPr>
        <w:t xml:space="preserve"> </w:t>
      </w:r>
      <w:r w:rsidR="00276807" w:rsidRPr="00E465D0">
        <w:rPr>
          <w:noProof/>
          <w:position w:val="-12"/>
        </w:rPr>
        <w:object w:dxaOrig="1740" w:dyaOrig="360" w14:anchorId="743D81E8">
          <v:shape id="_x0000_i1069" type="#_x0000_t75" style="width:87pt;height:18.45pt" o:ole="" o:preferrelative="f">
            <v:imagedata r:id="rId91" o:title=""/>
            <o:lock v:ext="edit" aspectratio="f"/>
          </v:shape>
          <o:OLEObject Type="Embed" ProgID="Equation.DSMT4" ShapeID="_x0000_i1069" DrawAspect="Content" ObjectID="_1784383223" r:id="rId92"/>
        </w:object>
      </w:r>
      <w:r w:rsidR="00B47261" w:rsidRPr="00E465D0">
        <w:rPr>
          <w:noProof/>
        </w:rPr>
        <w:t xml:space="preserve">, </w:t>
      </w:r>
      <w:r w:rsidR="00173897" w:rsidRPr="00E465D0">
        <w:rPr>
          <w:noProof/>
        </w:rPr>
        <w:t xml:space="preserve"> </w:t>
      </w:r>
      <w:r w:rsidR="00B47261" w:rsidRPr="00E465D0">
        <w:rPr>
          <w:noProof/>
        </w:rPr>
        <w:t xml:space="preserve">and </w:t>
      </w:r>
      <w:r w:rsidR="00276807" w:rsidRPr="00E465D0">
        <w:rPr>
          <w:noProof/>
          <w:position w:val="-12"/>
        </w:rPr>
        <w:object w:dxaOrig="1820" w:dyaOrig="360" w14:anchorId="649C45F9">
          <v:shape id="_x0000_i1070" type="#_x0000_t75" style="width:90.85pt;height:18.45pt" o:ole="" o:preferrelative="f">
            <v:imagedata r:id="rId93" o:title=""/>
            <o:lock v:ext="edit" aspectratio="f"/>
          </v:shape>
          <o:OLEObject Type="Embed" ProgID="Equation.DSMT4" ShapeID="_x0000_i1070" DrawAspect="Content" ObjectID="_1784383224" r:id="rId94"/>
        </w:object>
      </w:r>
      <w:r w:rsidR="00B91740" w:rsidRPr="00E465D0">
        <w:rPr>
          <w:noProof/>
        </w:rPr>
        <w:t xml:space="preserve">Also, stack the </w:t>
      </w:r>
      <w:r w:rsidR="00B91740" w:rsidRPr="00E465D0">
        <w:rPr>
          <w:i/>
          <w:noProof/>
        </w:rPr>
        <w:t xml:space="preserve">C </w:t>
      </w:r>
      <w:r w:rsidR="00B91740" w:rsidRPr="00E465D0">
        <w:rPr>
          <w:noProof/>
        </w:rPr>
        <w:t xml:space="preserve">latent variables </w:t>
      </w:r>
      <w:r w:rsidR="00276807" w:rsidRPr="00E465D0">
        <w:rPr>
          <w:noProof/>
          <w:position w:val="-12"/>
        </w:rPr>
        <w:object w:dxaOrig="279" w:dyaOrig="380" w14:anchorId="0561CA81">
          <v:shape id="_x0000_i1071" type="#_x0000_t75" style="width:13.3pt;height:17.55pt" o:ole="" o:preferrelative="f">
            <v:imagedata r:id="rId95" o:title=""/>
            <o:lock v:ext="edit" aspectratio="f"/>
          </v:shape>
          <o:OLEObject Type="Embed" ProgID="Equation.DSMT4" ShapeID="_x0000_i1071" DrawAspect="Content" ObjectID="_1784383225" r:id="rId96"/>
        </w:object>
      </w:r>
      <w:r w:rsidR="00B91740" w:rsidRPr="00E465D0">
        <w:rPr>
          <w:noProof/>
        </w:rPr>
        <w:t xml:space="preserve"> into a </w:t>
      </w:r>
      <w:r w:rsidR="00B91740" w:rsidRPr="00E465D0">
        <w:rPr>
          <w:noProof/>
          <w:position w:val="-10"/>
        </w:rPr>
        <w:object w:dxaOrig="700" w:dyaOrig="320" w14:anchorId="13A267CB">
          <v:shape id="_x0000_i1072" type="#_x0000_t75" style="width:35.15pt;height:16.3pt" o:ole="">
            <v:imagedata r:id="rId97" o:title=""/>
          </v:shape>
          <o:OLEObject Type="Embed" ProgID="Equation.3" ShapeID="_x0000_i1072" DrawAspect="Content" ObjectID="_1784383226" r:id="rId98"/>
        </w:object>
      </w:r>
      <w:r w:rsidR="00B91740" w:rsidRPr="00E465D0">
        <w:rPr>
          <w:noProof/>
        </w:rPr>
        <w:t>vector</w:t>
      </w:r>
      <w:r w:rsidR="00B91740" w:rsidRPr="00E465D0">
        <w:rPr>
          <w:noProof/>
          <w:position w:val="-14"/>
        </w:rPr>
        <w:t xml:space="preserve"> </w:t>
      </w:r>
      <w:r w:rsidR="00276807" w:rsidRPr="00E465D0">
        <w:rPr>
          <w:noProof/>
          <w:position w:val="-12"/>
        </w:rPr>
        <w:object w:dxaOrig="279" w:dyaOrig="380" w14:anchorId="5874A1AC">
          <v:shape id="_x0000_i1073" type="#_x0000_t75" style="width:13.3pt;height:18.85pt" o:ole="" o:preferrelative="f">
            <v:imagedata r:id="rId99" o:title=""/>
            <o:lock v:ext="edit" aspectratio="f"/>
          </v:shape>
          <o:OLEObject Type="Embed" ProgID="Equation.DSMT4" ShapeID="_x0000_i1073" DrawAspect="Content" ObjectID="_1784383227" r:id="rId100"/>
        </w:object>
      </w:r>
      <w:r w:rsidR="00B91740" w:rsidRPr="00E465D0">
        <w:rPr>
          <w:noProof/>
        </w:rPr>
        <w:t xml:space="preserve">, and the </w:t>
      </w:r>
      <w:r w:rsidR="00B91740" w:rsidRPr="00276807">
        <w:rPr>
          <w:i/>
          <w:iCs/>
          <w:noProof/>
        </w:rPr>
        <w:t>C</w:t>
      </w:r>
      <w:r w:rsidR="00B91740" w:rsidRPr="00E465D0">
        <w:rPr>
          <w:noProof/>
        </w:rPr>
        <w:t xml:space="preserve"> error terms </w:t>
      </w:r>
      <w:r w:rsidR="00276807" w:rsidRPr="00E465D0">
        <w:rPr>
          <w:noProof/>
          <w:position w:val="-12"/>
        </w:rPr>
        <w:object w:dxaOrig="279" w:dyaOrig="360" w14:anchorId="0D6B35E7">
          <v:shape id="_x0000_i1074" type="#_x0000_t75" style="width:13.3pt;height:18.45pt" o:ole="" o:preferrelative="f">
            <v:imagedata r:id="rId101" o:title=""/>
            <o:lock v:ext="edit" aspectratio="f"/>
          </v:shape>
          <o:OLEObject Type="Embed" ProgID="Equation.DSMT4" ShapeID="_x0000_i1074" DrawAspect="Content" ObjectID="_1784383228" r:id="rId102"/>
        </w:object>
      </w:r>
      <w:r w:rsidR="00B91740" w:rsidRPr="00E465D0">
        <w:rPr>
          <w:noProof/>
        </w:rPr>
        <w:t xml:space="preserve"> into another </w:t>
      </w:r>
      <w:r w:rsidR="00B91740" w:rsidRPr="00E465D0">
        <w:rPr>
          <w:noProof/>
          <w:position w:val="-10"/>
        </w:rPr>
        <w:object w:dxaOrig="700" w:dyaOrig="320" w14:anchorId="64FFA067">
          <v:shape id="_x0000_i1075" type="#_x0000_t75" style="width:35.15pt;height:16.3pt" o:ole="">
            <v:imagedata r:id="rId97" o:title=""/>
          </v:shape>
          <o:OLEObject Type="Embed" ProgID="Equation.3" ShapeID="_x0000_i1075" DrawAspect="Content" ObjectID="_1784383229" r:id="rId103"/>
        </w:object>
      </w:r>
      <w:r w:rsidR="00B91740" w:rsidRPr="00E465D0">
        <w:rPr>
          <w:noProof/>
        </w:rPr>
        <w:t>vector</w:t>
      </w:r>
      <w:r w:rsidR="00B91740" w:rsidRPr="00E465D0">
        <w:rPr>
          <w:noProof/>
          <w:position w:val="-14"/>
        </w:rPr>
        <w:t xml:space="preserve"> </w:t>
      </w:r>
      <w:r w:rsidR="00276807" w:rsidRPr="00E465D0">
        <w:rPr>
          <w:noProof/>
          <w:position w:val="-10"/>
        </w:rPr>
        <w:object w:dxaOrig="240" w:dyaOrig="320" w14:anchorId="3DB9862E">
          <v:shape id="_x0000_i1076" type="#_x0000_t75" style="width:12.45pt;height:16.3pt" o:ole="" o:preferrelative="f">
            <v:imagedata r:id="rId104" o:title=""/>
            <o:lock v:ext="edit" aspectratio="f"/>
          </v:shape>
          <o:OLEObject Type="Embed" ProgID="Equation.DSMT4" ShapeID="_x0000_i1076" DrawAspect="Content" ObjectID="_1784383230" r:id="rId105"/>
        </w:object>
      </w:r>
      <w:r w:rsidR="00B91740" w:rsidRPr="00E465D0">
        <w:rPr>
          <w:noProof/>
        </w:rPr>
        <w:t xml:space="preserve"> </w:t>
      </w:r>
      <w:r w:rsidR="00B47261" w:rsidRPr="00E465D0">
        <w:rPr>
          <w:noProof/>
        </w:rPr>
        <w:t>Note that the overall lower and upper threshold vectors (</w:t>
      </w:r>
      <w:r w:rsidR="00276807" w:rsidRPr="00E465D0">
        <w:rPr>
          <w:position w:val="-14"/>
        </w:rPr>
        <w:object w:dxaOrig="1340" w:dyaOrig="380" w14:anchorId="1DB3021F">
          <v:shape id="_x0000_i1077" type="#_x0000_t75" style="width:67.3pt;height:18.85pt" o:ole="" o:preferrelative="f">
            <v:imagedata r:id="rId106" o:title=""/>
            <o:lock v:ext="edit" aspectratio="f"/>
          </v:shape>
          <o:OLEObject Type="Embed" ProgID="Equation.DSMT4" ShapeID="_x0000_i1077" DrawAspect="Content" ObjectID="_1784383231" r:id="rId107"/>
        </w:object>
      </w:r>
      <w:r w:rsidR="00B47261" w:rsidRPr="00E465D0">
        <w:t xml:space="preserve">, respectively) for </w:t>
      </w:r>
      <w:r w:rsidR="00B47261" w:rsidRPr="00E465D0">
        <w:rPr>
          <w:noProof/>
        </w:rPr>
        <w:t xml:space="preserve">a specific individual depend on the </w:t>
      </w:r>
      <w:r w:rsidR="006E271B" w:rsidRPr="00E465D0">
        <w:rPr>
          <w:noProof/>
        </w:rPr>
        <w:t>collection</w:t>
      </w:r>
      <w:r w:rsidR="00B47261" w:rsidRPr="00E465D0">
        <w:rPr>
          <w:noProof/>
        </w:rPr>
        <w:t xml:space="preserve"> of count values </w:t>
      </w:r>
      <w:r w:rsidR="00276807" w:rsidRPr="00E465D0">
        <w:rPr>
          <w:position w:val="-12"/>
        </w:rPr>
        <w:object w:dxaOrig="220" w:dyaOrig="360" w14:anchorId="302A1CD1">
          <v:shape id="_x0000_i1078" type="#_x0000_t75" style="width:10.7pt;height:18.45pt" o:ole="" o:preferrelative="f">
            <v:imagedata r:id="rId108" o:title=""/>
            <o:lock v:ext="edit" aspectratio="f"/>
          </v:shape>
          <o:OLEObject Type="Embed" ProgID="Equation.DSMT4" ShapeID="_x0000_i1078" DrawAspect="Content" ObjectID="_1784383232" r:id="rId109"/>
        </w:object>
      </w:r>
      <w:r w:rsidR="00B47261" w:rsidRPr="00E465D0">
        <w:t xml:space="preserve"> for that individual, and are drawn appropriately from the threshold vector </w:t>
      </w:r>
      <w:r w:rsidR="00276807" w:rsidRPr="00E465D0">
        <w:rPr>
          <w:position w:val="-6"/>
        </w:rPr>
        <w:object w:dxaOrig="200" w:dyaOrig="279" w14:anchorId="73B328F8">
          <v:shape id="_x0000_i1079" type="#_x0000_t75" style="width:10.3pt;height:13.3pt" o:ole="" o:preferrelative="f">
            <v:imagedata r:id="rId110" o:title=""/>
            <o:lock v:ext="edit" aspectratio="f"/>
          </v:shape>
          <o:OLEObject Type="Embed" ProgID="Equation.DSMT4" ShapeID="_x0000_i1079" DrawAspect="Content" ObjectID="_1784383233" r:id="rId111"/>
        </w:object>
      </w:r>
      <w:r w:rsidR="00B47261" w:rsidRPr="00E465D0">
        <w:t xml:space="preserve"> for the individual. </w:t>
      </w:r>
      <w:r w:rsidR="00B91740" w:rsidRPr="00E465D0">
        <w:rPr>
          <w:noProof/>
        </w:rPr>
        <w:t>With these definitions, the latent propensity underlying the count outcomes may be written</w:t>
      </w:r>
      <w:r w:rsidR="00F30076" w:rsidRPr="00E465D0">
        <w:rPr>
          <w:noProof/>
        </w:rPr>
        <w:t xml:space="preserve"> for a specific individual based on the vector of count values </w:t>
      </w:r>
      <w:r w:rsidR="00B91740" w:rsidRPr="00E465D0">
        <w:rPr>
          <w:noProof/>
        </w:rPr>
        <w:t xml:space="preserve">as: </w:t>
      </w:r>
    </w:p>
    <w:p w14:paraId="23CBDD59" w14:textId="04CC1C18" w:rsidR="004E45D0" w:rsidRPr="00E465D0" w:rsidRDefault="00276807" w:rsidP="009C5C94">
      <w:pPr>
        <w:spacing w:before="60" w:after="60"/>
      </w:pPr>
      <w:r w:rsidRPr="00E465D0">
        <w:rPr>
          <w:noProof/>
          <w:position w:val="-14"/>
        </w:rPr>
        <w:object w:dxaOrig="2200" w:dyaOrig="400" w14:anchorId="79B34376">
          <v:shape id="_x0000_i1080" type="#_x0000_t75" style="width:110.55pt;height:20.55pt" o:ole="" o:preferrelative="f">
            <v:imagedata r:id="rId112" o:title=""/>
            <o:lock v:ext="edit" aspectratio="f"/>
          </v:shape>
          <o:OLEObject Type="Embed" ProgID="Equation.DSMT4" ShapeID="_x0000_i1080" DrawAspect="Content" ObjectID="_1784383234" r:id="rId113"/>
        </w:object>
      </w:r>
      <w:r w:rsidR="00B91740" w:rsidRPr="00E465D0">
        <w:rPr>
          <w:noProof/>
        </w:rPr>
        <w:t>.</w:t>
      </w:r>
      <w:r w:rsidR="00B91740"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t xml:space="preserve"> </w:t>
      </w:r>
      <w:r w:rsidR="00BB4696" w:rsidRPr="00E465D0">
        <w:rPr>
          <w:noProof/>
        </w:rPr>
        <w:t xml:space="preserve"> </w:t>
      </w:r>
      <w:r w:rsidR="003D216C" w:rsidRPr="00E465D0">
        <w:rPr>
          <w:noProof/>
        </w:rPr>
        <w:t xml:space="preserve">     (</w:t>
      </w:r>
      <w:r w:rsidR="003D47D6" w:rsidRPr="00E465D0">
        <w:rPr>
          <w:noProof/>
        </w:rPr>
        <w:t>5</w:t>
      </w:r>
      <w:r w:rsidR="003D216C" w:rsidRPr="00E465D0">
        <w:rPr>
          <w:noProof/>
        </w:rPr>
        <w:t>)</w:t>
      </w:r>
    </w:p>
    <w:p w14:paraId="4BE42D61" w14:textId="54158576" w:rsidR="004E45D0" w:rsidRPr="00E465D0" w:rsidRDefault="000738A9" w:rsidP="00E84B6A">
      <w:pPr>
        <w:spacing w:after="0"/>
      </w:pPr>
      <w:r w:rsidRPr="00E465D0">
        <w:tab/>
      </w:r>
      <w:r w:rsidR="00B267B6" w:rsidRPr="00E465D0">
        <w:t>Next</w:t>
      </w:r>
      <w:r w:rsidRPr="00E465D0">
        <w:t xml:space="preserve">, we allow correlations across the </w:t>
      </w:r>
      <w:r w:rsidR="00B93785" w:rsidRPr="00E465D0">
        <w:t xml:space="preserve">telework </w:t>
      </w:r>
      <w:r w:rsidRPr="00E465D0">
        <w:t xml:space="preserve">error term </w:t>
      </w:r>
      <w:r w:rsidR="00276807" w:rsidRPr="00E465D0">
        <w:rPr>
          <w:position w:val="-6"/>
        </w:rPr>
        <w:object w:dxaOrig="200" w:dyaOrig="220" w14:anchorId="743157E3">
          <v:shape id="_x0000_i1081" type="#_x0000_t75" style="width:10.3pt;height:10.7pt" o:ole="" o:preferrelative="f">
            <v:imagedata r:id="rId114" o:title=""/>
            <o:lock v:ext="edit" aspectratio="f"/>
          </v:shape>
          <o:OLEObject Type="Embed" ProgID="Equation.DSMT4" ShapeID="_x0000_i1081" DrawAspect="Content" ObjectID="_1784383235" r:id="rId115"/>
        </w:object>
      </w:r>
      <w:r w:rsidR="00B93785" w:rsidRPr="00E465D0">
        <w:t xml:space="preserve"> and the count error vector </w:t>
      </w:r>
      <w:r w:rsidR="00276807" w:rsidRPr="00E465D0">
        <w:rPr>
          <w:position w:val="-10"/>
        </w:rPr>
        <w:object w:dxaOrig="180" w:dyaOrig="320" w14:anchorId="43D136C1">
          <v:shape id="_x0000_i1082" type="#_x0000_t75" style="width:9pt;height:16.3pt" o:ole="" o:preferrelative="f">
            <v:imagedata r:id="rId116" o:title=""/>
            <o:lock v:ext="edit" aspectratio="f"/>
          </v:shape>
          <o:OLEObject Type="Embed" ProgID="Equation.DSMT4" ShapeID="_x0000_i1082" DrawAspect="Content" ObjectID="_1784383236" r:id="rId117"/>
        </w:object>
      </w:r>
      <w:r w:rsidR="00B93785" w:rsidRPr="00E465D0">
        <w:t xml:space="preserve">by specifying a </w:t>
      </w:r>
      <w:r w:rsidR="00B267B6" w:rsidRPr="00E465D0">
        <w:t xml:space="preserve">standard </w:t>
      </w:r>
      <w:r w:rsidR="00B93785" w:rsidRPr="00E465D0">
        <w:t>multivariate normal distribution</w:t>
      </w:r>
      <w:r w:rsidR="00635217" w:rsidRPr="00E465D0">
        <w:t xml:space="preserve"> (SMVN)</w:t>
      </w:r>
      <w:r w:rsidR="00B93785" w:rsidRPr="00E465D0">
        <w:t xml:space="preserve">. In our case, there are two count outcomes, and so the result is a </w:t>
      </w:r>
      <w:r w:rsidR="00635217" w:rsidRPr="00E465D0">
        <w:t xml:space="preserve">standard </w:t>
      </w:r>
      <w:r w:rsidR="00B93785" w:rsidRPr="00E465D0">
        <w:t>three-dimensional normal</w:t>
      </w:r>
      <w:r w:rsidR="00635217" w:rsidRPr="00E465D0">
        <w:t xml:space="preserve"> </w:t>
      </w:r>
      <w:r w:rsidR="00B93785" w:rsidRPr="00E465D0">
        <w:t>distribution as follows:</w:t>
      </w:r>
    </w:p>
    <w:p w14:paraId="1B888EB6" w14:textId="24C5380C" w:rsidR="00B93785" w:rsidRPr="00E465D0" w:rsidRDefault="00276807" w:rsidP="009C5C94">
      <w:pPr>
        <w:spacing w:before="60" w:after="60"/>
      </w:pPr>
      <w:r w:rsidRPr="00E465D0">
        <w:rPr>
          <w:position w:val="-52"/>
        </w:rPr>
        <w:object w:dxaOrig="6259" w:dyaOrig="1160" w14:anchorId="61B999C1">
          <v:shape id="_x0000_i1083" type="#_x0000_t75" style="width:313.3pt;height:57.85pt" o:ole="" o:preferrelative="f">
            <v:imagedata r:id="rId118" o:title=""/>
            <o:lock v:ext="edit" aspectratio="f"/>
          </v:shape>
          <o:OLEObject Type="Embed" ProgID="Equation.DSMT4" ShapeID="_x0000_i1083" DrawAspect="Content" ObjectID="_1784383237" r:id="rId119"/>
        </w:object>
      </w:r>
      <w:r w:rsidR="003D216C" w:rsidRPr="00E465D0">
        <w:tab/>
      </w:r>
      <w:r w:rsidR="003D216C" w:rsidRPr="00E465D0">
        <w:tab/>
      </w:r>
      <w:r w:rsidR="003D216C" w:rsidRPr="00E465D0">
        <w:tab/>
      </w:r>
      <w:r w:rsidR="003D216C" w:rsidRPr="00E465D0">
        <w:tab/>
        <w:t xml:space="preserve">       (</w:t>
      </w:r>
      <w:r w:rsidR="003D47D6" w:rsidRPr="00E465D0">
        <w:t>6</w:t>
      </w:r>
      <w:r w:rsidR="003D216C" w:rsidRPr="00E465D0">
        <w:t>)</w:t>
      </w:r>
    </w:p>
    <w:p w14:paraId="68C95C37" w14:textId="4BAC212B" w:rsidR="005F7005" w:rsidRPr="00E465D0" w:rsidRDefault="00B267B6" w:rsidP="00E84B6A">
      <w:pPr>
        <w:spacing w:after="0"/>
        <w:rPr>
          <w:noProof/>
        </w:rPr>
      </w:pPr>
      <w:r w:rsidRPr="00E465D0">
        <w:t xml:space="preserve">where </w:t>
      </w:r>
      <w:r w:rsidR="00276807" w:rsidRPr="00E465D0">
        <w:rPr>
          <w:position w:val="-12"/>
        </w:rPr>
        <w:object w:dxaOrig="360" w:dyaOrig="360" w14:anchorId="72DB7440">
          <v:shape id="_x0000_i1084" type="#_x0000_t75" style="width:18.45pt;height:18.45pt" o:ole="" o:preferrelative="f">
            <v:imagedata r:id="rId120" o:title=""/>
            <o:lock v:ext="edit" aspectratio="f"/>
          </v:shape>
          <o:OLEObject Type="Embed" ProgID="Equation.DSMT4" ShapeID="_x0000_i1084" DrawAspect="Content" ObjectID="_1784383238" r:id="rId121"/>
        </w:object>
      </w:r>
      <w:r w:rsidRPr="00E465D0">
        <w:t xml:space="preserve"> is the correlation between telework propensity and maintenance stop making propensity, </w:t>
      </w:r>
      <w:r w:rsidR="00276807" w:rsidRPr="00E465D0">
        <w:rPr>
          <w:position w:val="-12"/>
        </w:rPr>
        <w:object w:dxaOrig="300" w:dyaOrig="360" w14:anchorId="5AE161E9">
          <v:shape id="_x0000_i1085" type="#_x0000_t75" style="width:15pt;height:18.45pt" o:ole="" o:preferrelative="f">
            <v:imagedata r:id="rId122" o:title=""/>
            <o:lock v:ext="edit" aspectratio="f"/>
          </v:shape>
          <o:OLEObject Type="Embed" ProgID="Equation.DSMT4" ShapeID="_x0000_i1085" DrawAspect="Content" ObjectID="_1784383239" r:id="rId123"/>
        </w:object>
      </w:r>
      <w:r w:rsidRPr="00E465D0">
        <w:t xml:space="preserve"> is the correlation between telework propensity and leisure stop making propensity, </w:t>
      </w:r>
      <w:r w:rsidR="00276807" w:rsidRPr="00E465D0">
        <w:rPr>
          <w:position w:val="-12"/>
        </w:rPr>
        <w:object w:dxaOrig="380" w:dyaOrig="360" w14:anchorId="3572CEB4">
          <v:shape id="_x0000_i1086" type="#_x0000_t75" style="width:18.85pt;height:18.45pt" o:ole="" o:preferrelative="f">
            <v:imagedata r:id="rId124" o:title=""/>
            <o:lock v:ext="edit" aspectratio="f"/>
          </v:shape>
          <o:OLEObject Type="Embed" ProgID="Equation.DSMT4" ShapeID="_x0000_i1086" DrawAspect="Content" ObjectID="_1784383240" r:id="rId125"/>
        </w:object>
      </w:r>
      <w:r w:rsidRPr="00E465D0">
        <w:t xml:space="preserve"> is the correlation between maintenance and leisure stop making propensities, </w:t>
      </w:r>
      <w:r w:rsidR="00276807" w:rsidRPr="00E465D0">
        <w:rPr>
          <w:position w:val="-10"/>
        </w:rPr>
        <w:object w:dxaOrig="240" w:dyaOrig="320" w14:anchorId="64082F57">
          <v:shape id="_x0000_i1087" type="#_x0000_t75" style="width:12pt;height:16.3pt" o:ole="" o:preferrelative="f">
            <v:imagedata r:id="rId126" o:title=""/>
            <o:lock v:ext="edit" aspectratio="f"/>
          </v:shape>
          <o:OLEObject Type="Embed" ProgID="Equation.DSMT4" ShapeID="_x0000_i1087" DrawAspect="Content" ObjectID="_1784383241" r:id="rId127"/>
        </w:object>
      </w:r>
      <w:r w:rsidRPr="00E465D0">
        <w:t xml:space="preserve">is a vector of zero elements, and </w:t>
      </w:r>
      <w:r w:rsidR="00276807" w:rsidRPr="00E465D0">
        <w:rPr>
          <w:position w:val="-10"/>
        </w:rPr>
        <w:object w:dxaOrig="260" w:dyaOrig="320" w14:anchorId="7AE065D4">
          <v:shape id="_x0000_i1088" type="#_x0000_t75" style="width:13.3pt;height:16.3pt" o:ole="" o:preferrelative="f">
            <v:imagedata r:id="rId128" o:title=""/>
            <o:lock v:ext="edit" aspectratio="f"/>
          </v:shape>
          <o:OLEObject Type="Embed" ProgID="Equation.DSMT4" ShapeID="_x0000_i1088" DrawAspect="Content" ObjectID="_1784383242" r:id="rId129"/>
        </w:object>
      </w:r>
      <w:r w:rsidRPr="00E465D0">
        <w:t xml:space="preserve"> is a correlation matrix as specified. Let </w:t>
      </w:r>
      <w:r w:rsidR="00276807" w:rsidRPr="00E465D0">
        <w:rPr>
          <w:position w:val="-22"/>
        </w:rPr>
        <w:object w:dxaOrig="5280" w:dyaOrig="660" w14:anchorId="323AF847">
          <v:shape id="_x0000_i1089" type="#_x0000_t75" style="width:263.55pt;height:33pt" o:ole="" o:preferrelative="f">
            <v:imagedata r:id="rId130" o:title=""/>
            <o:lock v:ext="edit" aspectratio="f"/>
          </v:shape>
          <o:OLEObject Type="Embed" ProgID="Equation.DSMT4" ShapeID="_x0000_i1089" DrawAspect="Content" ObjectID="_1784383243" r:id="rId131"/>
        </w:object>
      </w:r>
      <w:r w:rsidR="005F7005" w:rsidRPr="00E465D0">
        <w:t xml:space="preserve">. </w:t>
      </w:r>
      <w:r w:rsidRPr="00E465D0">
        <w:t xml:space="preserve">Then, </w:t>
      </w:r>
      <w:r w:rsidR="005F7005" w:rsidRPr="00E465D0">
        <w:t xml:space="preserve">for an individual with ordinal telework level </w:t>
      </w:r>
      <w:r w:rsidR="005F7005" w:rsidRPr="00E465D0">
        <w:rPr>
          <w:i/>
          <w:iCs/>
        </w:rPr>
        <w:t>k</w:t>
      </w:r>
      <w:r w:rsidR="00635217" w:rsidRPr="00E465D0">
        <w:t xml:space="preserve">, </w:t>
      </w:r>
      <w:r w:rsidR="005F7005" w:rsidRPr="00E465D0">
        <w:t xml:space="preserve">and making </w:t>
      </w:r>
      <w:r w:rsidR="00276807" w:rsidRPr="00E465D0">
        <w:rPr>
          <w:noProof/>
          <w:position w:val="-12"/>
        </w:rPr>
        <w:object w:dxaOrig="200" w:dyaOrig="360" w14:anchorId="7AD5CD26">
          <v:shape id="_x0000_i1090" type="#_x0000_t75" style="width:10.3pt;height:18.45pt" o:ole="" o:preferrelative="f">
            <v:imagedata r:id="rId132" o:title=""/>
            <o:lock v:ext="edit" aspectratio="f"/>
          </v:shape>
          <o:OLEObject Type="Embed" ProgID="Equation.DSMT4" ShapeID="_x0000_i1090" DrawAspect="Content" ObjectID="_1784383244" r:id="rId133"/>
        </w:object>
      </w:r>
      <w:r w:rsidR="005F7005" w:rsidRPr="00E465D0">
        <w:rPr>
          <w:noProof/>
        </w:rPr>
        <w:t xml:space="preserve"> maintenance stops and </w:t>
      </w:r>
      <w:r w:rsidR="00276807" w:rsidRPr="00E465D0">
        <w:rPr>
          <w:noProof/>
          <w:position w:val="-12"/>
        </w:rPr>
        <w:object w:dxaOrig="220" w:dyaOrig="360" w14:anchorId="3EAB0207">
          <v:shape id="_x0000_i1091" type="#_x0000_t75" style="width:10.7pt;height:18.45pt" o:ole="" o:preferrelative="f">
            <v:imagedata r:id="rId134" o:title=""/>
            <o:lock v:ext="edit" aspectratio="f"/>
          </v:shape>
          <o:OLEObject Type="Embed" ProgID="Equation.DSMT4" ShapeID="_x0000_i1091" DrawAspect="Content" ObjectID="_1784383245" r:id="rId135"/>
        </w:object>
      </w:r>
      <w:r w:rsidR="005F7005" w:rsidRPr="00E465D0">
        <w:rPr>
          <w:noProof/>
        </w:rPr>
        <w:t xml:space="preserve"> leisure stops, we have the following:</w:t>
      </w:r>
    </w:p>
    <w:p w14:paraId="2A4432EC" w14:textId="3C9DE59C" w:rsidR="005F7005" w:rsidRPr="00E465D0" w:rsidRDefault="00276807" w:rsidP="009C5C94">
      <w:pPr>
        <w:spacing w:before="60" w:after="60"/>
        <w:rPr>
          <w:noProof/>
        </w:rPr>
      </w:pPr>
      <w:r w:rsidRPr="00E465D0">
        <w:rPr>
          <w:noProof/>
          <w:position w:val="-14"/>
        </w:rPr>
        <w:object w:dxaOrig="2160" w:dyaOrig="400" w14:anchorId="66F51368">
          <v:shape id="_x0000_i1092" type="#_x0000_t75" style="width:108pt;height:20.55pt" o:ole="" o:preferrelative="f">
            <v:imagedata r:id="rId136" o:title=""/>
            <o:lock v:ext="edit" aspectratio="f"/>
          </v:shape>
          <o:OLEObject Type="Embed" ProgID="Equation.DSMT4" ShapeID="_x0000_i1092" DrawAspect="Content" ObjectID="_1784383246" r:id="rId137"/>
        </w:object>
      </w:r>
      <w:r w:rsidR="000740BB" w:rsidRPr="00E465D0">
        <w:rPr>
          <w:noProof/>
        </w:rPr>
        <w:t>.</w:t>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3D216C" w:rsidRPr="00E465D0">
        <w:rPr>
          <w:noProof/>
        </w:rPr>
        <w:tab/>
      </w:r>
      <w:r w:rsidR="00BB4696" w:rsidRPr="00E465D0">
        <w:rPr>
          <w:noProof/>
        </w:rPr>
        <w:tab/>
        <w:t xml:space="preserve">       </w:t>
      </w:r>
      <w:r w:rsidR="003D216C" w:rsidRPr="00E465D0">
        <w:rPr>
          <w:noProof/>
        </w:rPr>
        <w:t>(</w:t>
      </w:r>
      <w:r w:rsidR="003D47D6" w:rsidRPr="00E465D0">
        <w:rPr>
          <w:noProof/>
        </w:rPr>
        <w:t>7</w:t>
      </w:r>
      <w:r w:rsidR="003D216C" w:rsidRPr="00E465D0">
        <w:rPr>
          <w:noProof/>
        </w:rPr>
        <w:t>)</w:t>
      </w:r>
    </w:p>
    <w:p w14:paraId="648AFF42" w14:textId="2A6513BB" w:rsidR="00635217" w:rsidRPr="00E465D0" w:rsidRDefault="000740BB" w:rsidP="00E84B6A">
      <w:pPr>
        <w:spacing w:after="0"/>
      </w:pPr>
      <w:r w:rsidRPr="00E465D0">
        <w:t xml:space="preserve">The probability of </w:t>
      </w:r>
      <w:r w:rsidR="00635217" w:rsidRPr="00E465D0">
        <w:t>this multivariate event may be written</w:t>
      </w:r>
      <w:r w:rsidR="005E67BF" w:rsidRPr="00E465D0">
        <w:t xml:space="preserve">, given the parameter vector </w:t>
      </w:r>
      <w:r w:rsidR="00635217" w:rsidRPr="00E465D0">
        <w:t xml:space="preserve"> </w:t>
      </w:r>
      <w:r w:rsidR="00276807" w:rsidRPr="00E465D0">
        <w:rPr>
          <w:noProof/>
          <w:position w:val="-10"/>
        </w:rPr>
        <w:object w:dxaOrig="2780" w:dyaOrig="320" w14:anchorId="6B0036D4">
          <v:shape id="_x0000_i1093" type="#_x0000_t75" style="width:139.3pt;height:16.3pt" o:ole="" o:preferrelative="f">
            <v:imagedata r:id="rId138" o:title=""/>
            <o:lock v:ext="edit" aspectratio="f"/>
          </v:shape>
          <o:OLEObject Type="Embed" ProgID="Equation.DSMT4" ShapeID="_x0000_i1093" DrawAspect="Content" ObjectID="_1784383247" r:id="rId139"/>
        </w:object>
      </w:r>
      <w:r w:rsidR="00B1014E" w:rsidRPr="00E465D0">
        <w:t xml:space="preserve"> </w:t>
      </w:r>
      <w:r w:rsidR="005F622E" w:rsidRPr="00E465D0">
        <w:t xml:space="preserve">(where </w:t>
      </w:r>
      <w:proofErr w:type="spellStart"/>
      <w:r w:rsidR="005F622E" w:rsidRPr="00E465D0">
        <w:t>Vechup</w:t>
      </w:r>
      <w:proofErr w:type="spellEnd"/>
      <w:r w:rsidR="005F622E" w:rsidRPr="00E465D0">
        <w:t>(</w:t>
      </w:r>
      <w:r w:rsidR="00276807" w:rsidRPr="00E465D0">
        <w:rPr>
          <w:position w:val="-4"/>
        </w:rPr>
        <w:object w:dxaOrig="220" w:dyaOrig="260" w14:anchorId="7021E395">
          <v:shape id="_x0000_i1094" type="#_x0000_t75" style="width:10.7pt;height:13.3pt" o:ole="" o:preferrelative="f">
            <v:imagedata r:id="rId140" o:title=""/>
            <o:lock v:ext="edit" aspectratio="f"/>
          </v:shape>
          <o:OLEObject Type="Embed" ProgID="Equation.DSMT4" ShapeID="_x0000_i1094" DrawAspect="Content" ObjectID="_1784383248" r:id="rId141"/>
        </w:object>
      </w:r>
      <w:r w:rsidR="005F622E" w:rsidRPr="00E465D0">
        <w:t xml:space="preserve">) stands for the upper diagonal elements of matrix </w:t>
      </w:r>
      <w:r w:rsidR="00276807" w:rsidRPr="00E465D0">
        <w:rPr>
          <w:position w:val="-10"/>
        </w:rPr>
        <w:object w:dxaOrig="380" w:dyaOrig="320" w14:anchorId="3E89A79D">
          <v:shape id="_x0000_i1095" type="#_x0000_t75" style="width:18.85pt;height:16.3pt" o:ole="" o:preferrelative="f">
            <v:imagedata r:id="rId142" o:title=""/>
            <o:lock v:ext="edit" aspectratio="f"/>
          </v:shape>
          <o:OLEObject Type="Embed" ProgID="Equation.DSMT4" ShapeID="_x0000_i1095" DrawAspect="Content" ObjectID="_1784383249" r:id="rId143"/>
        </w:object>
      </w:r>
      <w:r w:rsidR="005F622E" w:rsidRPr="00E465D0">
        <w:t xml:space="preserve"> as:</w:t>
      </w:r>
    </w:p>
    <w:p w14:paraId="0AB84FAC" w14:textId="368F5292" w:rsidR="000740BB" w:rsidRPr="00E465D0" w:rsidRDefault="00276807" w:rsidP="009C5C94">
      <w:pPr>
        <w:tabs>
          <w:tab w:val="right" w:pos="9360"/>
        </w:tabs>
        <w:spacing w:before="60" w:after="60"/>
        <w:rPr>
          <w:noProof/>
        </w:rPr>
      </w:pPr>
      <w:r w:rsidRPr="00E465D0">
        <w:rPr>
          <w:position w:val="-34"/>
        </w:rPr>
        <w:object w:dxaOrig="5319" w:dyaOrig="620" w14:anchorId="1385B3CC">
          <v:shape id="_x0000_i1096" type="#_x0000_t75" style="width:264.85pt;height:31.3pt" o:ole="" o:preferrelative="f">
            <v:imagedata r:id="rId144" o:title=""/>
            <o:lock v:ext="edit" aspectratio="f"/>
          </v:shape>
          <o:OLEObject Type="Embed" ProgID="Equation.DSMT4" ShapeID="_x0000_i1096" DrawAspect="Content" ObjectID="_1784383250" r:id="rId145"/>
        </w:object>
      </w:r>
      <w:r w:rsidR="000740BB" w:rsidRPr="00E465D0">
        <w:rPr>
          <w:noProof/>
        </w:rPr>
        <w:t xml:space="preserve">                                 </w:t>
      </w:r>
      <w:r w:rsidR="000740BB" w:rsidRPr="00E465D0">
        <w:rPr>
          <w:noProof/>
          <w:lang w:eastAsia="zh-CN"/>
        </w:rPr>
        <w:t xml:space="preserve">                            </w:t>
      </w:r>
      <w:r w:rsidR="00BB4696" w:rsidRPr="00E465D0">
        <w:rPr>
          <w:noProof/>
          <w:lang w:eastAsia="zh-CN"/>
        </w:rPr>
        <w:t xml:space="preserve">         </w:t>
      </w:r>
      <w:r w:rsidR="003D216C" w:rsidRPr="00E465D0">
        <w:rPr>
          <w:noProof/>
          <w:lang w:eastAsia="zh-CN"/>
        </w:rPr>
        <w:t>(</w:t>
      </w:r>
      <w:r w:rsidR="003D47D6" w:rsidRPr="00E465D0">
        <w:rPr>
          <w:noProof/>
          <w:lang w:eastAsia="zh-CN"/>
        </w:rPr>
        <w:t>8</w:t>
      </w:r>
      <w:r w:rsidR="003D216C" w:rsidRPr="00E465D0">
        <w:rPr>
          <w:noProof/>
          <w:lang w:eastAsia="zh-CN"/>
        </w:rPr>
        <w:t>)</w:t>
      </w:r>
    </w:p>
    <w:p w14:paraId="56F5CACF" w14:textId="040CB455" w:rsidR="00177C9D" w:rsidRDefault="000740BB" w:rsidP="00E84B6A">
      <w:pPr>
        <w:spacing w:after="0"/>
        <w:rPr>
          <w:noProof/>
        </w:rPr>
      </w:pPr>
      <w:r w:rsidRPr="00E465D0">
        <w:rPr>
          <w:noProof/>
        </w:rPr>
        <w:t xml:space="preserve">where the integration domain </w:t>
      </w:r>
      <w:r w:rsidR="00276807" w:rsidRPr="00E465D0">
        <w:rPr>
          <w:position w:val="-14"/>
        </w:rPr>
        <w:object w:dxaOrig="2360" w:dyaOrig="380" w14:anchorId="7FCEDEE8">
          <v:shape id="_x0000_i1097" type="#_x0000_t75" style="width:118.3pt;height:17.55pt" o:ole="" o:preferrelative="f">
            <v:imagedata r:id="rId146" o:title=""/>
            <o:lock v:ext="edit" aspectratio="f"/>
          </v:shape>
          <o:OLEObject Type="Embed" ProgID="Equation.DSMT4" ShapeID="_x0000_i1097" DrawAspect="Content" ObjectID="_1784383251" r:id="rId147"/>
        </w:object>
      </w:r>
      <w:r w:rsidRPr="00E465D0">
        <w:rPr>
          <w:noProof/>
        </w:rPr>
        <w:t xml:space="preserve"> is simply the multivariate region </w:t>
      </w:r>
      <w:r w:rsidR="00635217" w:rsidRPr="00E465D0">
        <w:rPr>
          <w:noProof/>
        </w:rPr>
        <w:t xml:space="preserve">(trivariate in our empirical case) </w:t>
      </w:r>
      <w:r w:rsidRPr="00E465D0">
        <w:rPr>
          <w:noProof/>
        </w:rPr>
        <w:t xml:space="preserve">of the </w:t>
      </w:r>
      <w:r w:rsidR="00352ED3" w:rsidRPr="00E465D0">
        <w:rPr>
          <w:position w:val="-6"/>
        </w:rPr>
        <w:object w:dxaOrig="240" w:dyaOrig="220" w14:anchorId="212978DB">
          <v:shape id="_x0000_i1098" type="#_x0000_t75" style="width:12pt;height:10.7pt" o:ole="">
            <v:imagedata r:id="rId148" o:title=""/>
          </v:shape>
          <o:OLEObject Type="Embed" ProgID="Equation.DSMT4" ShapeID="_x0000_i1098" DrawAspect="Content" ObjectID="_1784383252" r:id="rId149"/>
        </w:object>
      </w:r>
      <w:r w:rsidR="00352ED3" w:rsidRPr="00E465D0">
        <w:t xml:space="preserve"> </w:t>
      </w:r>
      <w:r w:rsidRPr="00E465D0">
        <w:t>v</w:t>
      </w:r>
      <w:r w:rsidRPr="00E465D0">
        <w:rPr>
          <w:noProof/>
        </w:rPr>
        <w:t xml:space="preserve">ector determined by the upper and lower thresholds. </w:t>
      </w:r>
      <w:r w:rsidR="00276807" w:rsidRPr="00E465D0">
        <w:rPr>
          <w:position w:val="-12"/>
        </w:rPr>
        <w:object w:dxaOrig="1280" w:dyaOrig="360" w14:anchorId="06E21701">
          <v:shape id="_x0000_i1099" type="#_x0000_t75" style="width:63.85pt;height:18.45pt" o:ole="" o:preferrelative="f">
            <v:imagedata r:id="rId150" o:title=""/>
            <o:lock v:ext="edit" aspectratio="f"/>
          </v:shape>
          <o:OLEObject Type="Embed" ProgID="Equation.DSMT4" ShapeID="_x0000_i1099" DrawAspect="Content" ObjectID="_1784383253" r:id="rId151"/>
        </w:object>
      </w:r>
      <w:r w:rsidR="00635217" w:rsidRPr="00E465D0">
        <w:t xml:space="preserve"> </w:t>
      </w:r>
      <w:r w:rsidRPr="00E465D0">
        <w:rPr>
          <w:noProof/>
        </w:rPr>
        <w:t xml:space="preserve">is the </w:t>
      </w:r>
      <w:r w:rsidR="00635217" w:rsidRPr="00E465D0">
        <w:rPr>
          <w:noProof/>
        </w:rPr>
        <w:t xml:space="preserve">standard </w:t>
      </w:r>
      <w:r w:rsidRPr="00E465D0">
        <w:rPr>
          <w:noProof/>
        </w:rPr>
        <w:t xml:space="preserve">MVN density function of dimension </w:t>
      </w:r>
      <w:r w:rsidRPr="00E465D0">
        <w:rPr>
          <w:i/>
          <w:noProof/>
        </w:rPr>
        <w:t>C</w:t>
      </w:r>
      <w:r w:rsidR="00635217" w:rsidRPr="00E465D0">
        <w:rPr>
          <w:noProof/>
        </w:rPr>
        <w:t xml:space="preserve">+1, </w:t>
      </w:r>
      <w:r w:rsidRPr="00E465D0">
        <w:rPr>
          <w:noProof/>
        </w:rPr>
        <w:t>with a correlation matrix</w:t>
      </w:r>
      <w:r w:rsidR="00AB55F1">
        <w:rPr>
          <w:noProof/>
        </w:rPr>
        <w:t xml:space="preserve"> </w:t>
      </w:r>
      <w:r w:rsidR="00276807" w:rsidRPr="00E465D0">
        <w:rPr>
          <w:position w:val="-10"/>
        </w:rPr>
        <w:object w:dxaOrig="260" w:dyaOrig="320" w14:anchorId="1C1DEBAC">
          <v:shape id="_x0000_i1100" type="#_x0000_t75" style="width:13.3pt;height:16.3pt" o:ole="" o:preferrelative="f">
            <v:imagedata r:id="rId128" o:title=""/>
            <o:lock v:ext="edit" aspectratio="f"/>
          </v:shape>
          <o:OLEObject Type="Embed" ProgID="Equation.DSMT4" ShapeID="_x0000_i1100" DrawAspect="Content" ObjectID="_1784383254" r:id="rId152"/>
        </w:object>
      </w:r>
      <w:r w:rsidRPr="00E465D0">
        <w:rPr>
          <w:noProof/>
        </w:rPr>
        <w:t xml:space="preserve">. </w:t>
      </w:r>
    </w:p>
    <w:p w14:paraId="7192BEE6" w14:textId="77777777" w:rsidR="00AB55F1" w:rsidRPr="00E465D0" w:rsidRDefault="00AB55F1" w:rsidP="00E84B6A">
      <w:pPr>
        <w:spacing w:after="0"/>
      </w:pPr>
    </w:p>
    <w:p w14:paraId="2E7252A6" w14:textId="11358F59" w:rsidR="00177C9D" w:rsidRPr="00E465D0" w:rsidRDefault="00177C9D" w:rsidP="00E84B6A">
      <w:pPr>
        <w:pStyle w:val="Heading2"/>
        <w:spacing w:before="0"/>
      </w:pPr>
      <w:r w:rsidRPr="00E465D0">
        <w:t>Latent Segmentation Model</w:t>
      </w:r>
    </w:p>
    <w:p w14:paraId="72D96FE9" w14:textId="2242C716" w:rsidR="00177C9D" w:rsidRPr="00E465D0" w:rsidRDefault="00177C9D" w:rsidP="00E84B6A">
      <w:pPr>
        <w:spacing w:after="0"/>
      </w:pPr>
      <w:r w:rsidRPr="00E465D0">
        <w:t xml:space="preserve">As indicated earlier, one of two causal directions may be at play for any individual, after accommodating the association among the telework and nonwork stops decisions of an individual. The individual may have the </w:t>
      </w:r>
      <w:r w:rsidR="00940550">
        <w:t xml:space="preserve">NT </w:t>
      </w:r>
      <w:r w:rsidRPr="00E465D0">
        <w:t xml:space="preserve">causal pathway effect or the </w:t>
      </w:r>
      <w:r w:rsidR="00940550">
        <w:t>TN</w:t>
      </w:r>
      <w:r w:rsidRPr="00E465D0">
        <w:t xml:space="preserve"> causal pathway effect. Thus, we use a latent segmentation approach in our analysis, in which we write the probability of the individual being in segment </w:t>
      </w:r>
      <w:r w:rsidRPr="00E465D0">
        <w:rPr>
          <w:i/>
          <w:iCs/>
        </w:rPr>
        <w:t>h</w:t>
      </w:r>
      <w:r w:rsidRPr="00E465D0">
        <w:t xml:space="preserve"> (whether in the </w:t>
      </w:r>
      <w:r w:rsidR="00940550">
        <w:t xml:space="preserve">NT or </w:t>
      </w:r>
      <w:r w:rsidRPr="00E465D0">
        <w:t>T</w:t>
      </w:r>
      <w:r w:rsidR="005E67BF" w:rsidRPr="00E465D0">
        <w:t>N</w:t>
      </w:r>
      <w:r w:rsidRPr="00E465D0">
        <w:t xml:space="preserve"> segment) itself as a function of individual exogenous variables</w:t>
      </w:r>
      <w:r w:rsidR="005E67BF" w:rsidRPr="00E465D0">
        <w:t>.</w:t>
      </w:r>
      <w:r w:rsidRPr="00E465D0">
        <w:rPr>
          <w:rStyle w:val="FootnoteReference"/>
        </w:rPr>
        <w:footnoteReference w:id="3"/>
      </w:r>
      <w:r w:rsidRPr="00E465D0">
        <w:t xml:space="preserve"> In this latent segmentation approach, the probability </w:t>
      </w:r>
      <w:r w:rsidR="004E53F8" w:rsidRPr="00E465D0">
        <w:t>in Equation (</w:t>
      </w:r>
      <w:r w:rsidR="00940550">
        <w:t>8</w:t>
      </w:r>
      <w:r w:rsidR="004E53F8" w:rsidRPr="00E465D0">
        <w:t xml:space="preserve">) </w:t>
      </w:r>
      <w:r w:rsidR="00E67117" w:rsidRPr="00E465D0">
        <w:t xml:space="preserve">will </w:t>
      </w:r>
      <w:r w:rsidR="004E53F8" w:rsidRPr="00E465D0">
        <w:t>depend</w:t>
      </w:r>
      <w:r w:rsidR="00E67117" w:rsidRPr="00E465D0">
        <w:t xml:space="preserve"> </w:t>
      </w:r>
      <w:r w:rsidR="004E53F8" w:rsidRPr="00E465D0">
        <w:t xml:space="preserve">on </w:t>
      </w:r>
      <w:r w:rsidR="00E67117" w:rsidRPr="00E465D0">
        <w:t xml:space="preserve">the </w:t>
      </w:r>
      <w:r w:rsidRPr="00E465D0">
        <w:t xml:space="preserve">segment </w:t>
      </w:r>
      <w:r w:rsidRPr="00E465D0">
        <w:rPr>
          <w:i/>
        </w:rPr>
        <w:t>h</w:t>
      </w:r>
      <w:r w:rsidR="004E53F8" w:rsidRPr="00E465D0">
        <w:t xml:space="preserve"> (</w:t>
      </w:r>
      <w:r w:rsidR="004E53F8" w:rsidRPr="00E465D0">
        <w:rPr>
          <w:i/>
          <w:iCs/>
        </w:rPr>
        <w:t>h</w:t>
      </w:r>
      <w:r w:rsidR="004E53F8" w:rsidRPr="00E465D0">
        <w:t>=1 being the N</w:t>
      </w:r>
      <w:r w:rsidR="00940550">
        <w:t>T</w:t>
      </w:r>
      <w:r w:rsidR="004E53F8" w:rsidRPr="00E465D0">
        <w:t xml:space="preserve"> segment and </w:t>
      </w:r>
      <w:r w:rsidR="004E53F8" w:rsidRPr="00E465D0">
        <w:rPr>
          <w:i/>
          <w:iCs/>
        </w:rPr>
        <w:t>h</w:t>
      </w:r>
      <w:r w:rsidR="004E53F8" w:rsidRPr="00E465D0">
        <w:t>=2 being the T</w:t>
      </w:r>
      <w:r w:rsidR="00940550">
        <w:t>N</w:t>
      </w:r>
      <w:r w:rsidR="004E53F8" w:rsidRPr="00E465D0">
        <w:t xml:space="preserve"> segment) </w:t>
      </w:r>
      <w:r w:rsidR="00E67117" w:rsidRPr="00E465D0">
        <w:t xml:space="preserve">that </w:t>
      </w:r>
      <w:r w:rsidR="004E53F8" w:rsidRPr="00E465D0">
        <w:t xml:space="preserve">an individual belongs to. Introducing the index </w:t>
      </w:r>
      <w:r w:rsidR="004E53F8" w:rsidRPr="00E465D0">
        <w:rPr>
          <w:i/>
          <w:iCs/>
        </w:rPr>
        <w:t>q</w:t>
      </w:r>
      <w:r w:rsidR="004E53F8" w:rsidRPr="00E465D0">
        <w:t xml:space="preserve"> for individual now, we may write the probability in Equation (</w:t>
      </w:r>
      <w:r w:rsidR="00940550">
        <w:t>8</w:t>
      </w:r>
      <w:r w:rsidR="004E53F8" w:rsidRPr="00E465D0">
        <w:t>)</w:t>
      </w:r>
      <w:r w:rsidR="00E67117" w:rsidRPr="00E465D0">
        <w:t xml:space="preserve">, </w:t>
      </w:r>
      <w:r w:rsidR="004E53F8" w:rsidRPr="00E465D0">
        <w:t xml:space="preserve">conditional on the individual belonging to segment </w:t>
      </w:r>
      <w:r w:rsidR="004E53F8" w:rsidRPr="00E465D0">
        <w:rPr>
          <w:i/>
          <w:iCs/>
        </w:rPr>
        <w:t>h</w:t>
      </w:r>
      <w:r w:rsidR="00E67117" w:rsidRPr="00E465D0">
        <w:t xml:space="preserve">, </w:t>
      </w:r>
      <w:r w:rsidR="004E53F8" w:rsidRPr="00E465D0">
        <w:t xml:space="preserve">as </w:t>
      </w:r>
      <w:r w:rsidR="009C5C94" w:rsidRPr="00E465D0">
        <w:rPr>
          <w:rFonts w:eastAsia="Calibri"/>
          <w:position w:val="-16"/>
        </w:rPr>
        <w:object w:dxaOrig="1500" w:dyaOrig="440" w14:anchorId="10A2542C">
          <v:shape id="_x0000_i1101" type="#_x0000_t75" style="width:75.45pt;height:22.7pt" o:ole="" o:preferrelative="f">
            <v:imagedata r:id="rId153" o:title=""/>
            <o:lock v:ext="edit" aspectratio="f"/>
          </v:shape>
          <o:OLEObject Type="Embed" ProgID="Equation.DSMT4" ShapeID="_x0000_i1101" DrawAspect="Content" ObjectID="_1784383255" r:id="rId154"/>
        </w:object>
      </w:r>
      <w:r w:rsidRPr="00E465D0">
        <w:rPr>
          <w:noProof/>
        </w:rPr>
        <w:t>.</w:t>
      </w:r>
      <w:r w:rsidRPr="00E465D0">
        <w:t xml:space="preserve"> </w:t>
      </w:r>
      <w:r w:rsidR="00E67117" w:rsidRPr="00E465D0">
        <w:t xml:space="preserve">Let </w:t>
      </w:r>
      <w:r w:rsidR="009C5C94" w:rsidRPr="00E465D0">
        <w:rPr>
          <w:rFonts w:eastAsia="Calibri"/>
          <w:noProof/>
          <w:position w:val="-14"/>
        </w:rPr>
        <w:object w:dxaOrig="4880" w:dyaOrig="380" w14:anchorId="47571404">
          <v:shape id="_x0000_i1102" type="#_x0000_t75" alt="" style="width:244.3pt;height:18.85pt" o:ole="" o:preferrelative="f">
            <v:imagedata r:id="rId155" o:title=""/>
            <o:lock v:ext="edit" aspectratio="f"/>
          </v:shape>
          <o:OLEObject Type="Embed" ProgID="Equation.DSMT4" ShapeID="_x0000_i1102" DrawAspect="Content" ObjectID="_1784383256" r:id="rId156"/>
        </w:object>
      </w:r>
      <w:r w:rsidR="00E67117" w:rsidRPr="00E465D0">
        <w:rPr>
          <w:rFonts w:eastAsia="Calibri"/>
          <w:noProof/>
        </w:rPr>
        <w:t xml:space="preserve"> denote the probability that</w:t>
      </w:r>
      <w:r w:rsidRPr="00E465D0">
        <w:t xml:space="preserve"> individual </w:t>
      </w:r>
      <w:r w:rsidRPr="00E465D0">
        <w:rPr>
          <w:i/>
        </w:rPr>
        <w:t>q</w:t>
      </w:r>
      <w:r w:rsidRPr="00E465D0">
        <w:t xml:space="preserve"> belong</w:t>
      </w:r>
      <w:r w:rsidR="00E67117" w:rsidRPr="00E465D0">
        <w:t>s</w:t>
      </w:r>
      <w:r w:rsidRPr="00E465D0">
        <w:t xml:space="preserve"> to segment </w:t>
      </w:r>
      <w:r w:rsidRPr="00E465D0">
        <w:rPr>
          <w:i/>
        </w:rPr>
        <w:t>h</w:t>
      </w:r>
      <w:r w:rsidRPr="00E465D0">
        <w:t xml:space="preserve">. The conditions that </w:t>
      </w:r>
      <w:r w:rsidR="009C5C94" w:rsidRPr="00E465D0">
        <w:rPr>
          <w:rFonts w:eastAsia="Calibri"/>
          <w:noProof/>
          <w:position w:val="-14"/>
        </w:rPr>
        <w:object w:dxaOrig="1035" w:dyaOrig="360" w14:anchorId="72A7C9CC">
          <v:shape id="_x0000_i1103" type="#_x0000_t75" alt="" style="width:51pt;height:18.45pt;mso-width-percent:0;mso-height-percent:0;mso-width-percent:0;mso-height-percent:0" o:ole="" o:preferrelative="f">
            <v:imagedata r:id="rId157" o:title=""/>
            <o:lock v:ext="edit" aspectratio="f"/>
          </v:shape>
          <o:OLEObject Type="Embed" ProgID="Equation.3" ShapeID="_x0000_i1103" DrawAspect="Content" ObjectID="_1784383257" r:id="rId158"/>
        </w:object>
      </w:r>
      <w:r w:rsidRPr="00E465D0">
        <w:t xml:space="preserve"> and </w:t>
      </w:r>
      <w:r w:rsidR="009C5C94" w:rsidRPr="00E465D0">
        <w:rPr>
          <w:rFonts w:eastAsia="Calibri"/>
          <w:noProof/>
          <w:position w:val="-28"/>
        </w:rPr>
        <w:object w:dxaOrig="990" w:dyaOrig="705" w14:anchorId="29F589FA">
          <v:shape id="_x0000_i1104" type="#_x0000_t75" alt="" style="width:49.3pt;height:33.85pt;mso-width-percent:0;mso-height-percent:0;mso-width-percent:0;mso-height-percent:0" o:ole="" o:preferrelative="f">
            <v:imagedata r:id="rId159" o:title=""/>
            <o:lock v:ext="edit" aspectratio="f"/>
          </v:shape>
          <o:OLEObject Type="Embed" ProgID="Equation.3" ShapeID="_x0000_i1104" DrawAspect="Content" ObjectID="_1784383258" r:id="rId160"/>
        </w:object>
      </w:r>
      <w:r w:rsidRPr="00E465D0">
        <w:t xml:space="preserve"> must be met. To enforce these restrictions, following Bhat (1997), the following logit link function is used:</w:t>
      </w:r>
    </w:p>
    <w:p w14:paraId="1AA73409" w14:textId="51D4393C" w:rsidR="00177C9D" w:rsidRPr="00E465D0" w:rsidRDefault="009C5C94" w:rsidP="009C5C94">
      <w:pPr>
        <w:tabs>
          <w:tab w:val="right" w:pos="9360"/>
        </w:tabs>
        <w:spacing w:before="60" w:after="60"/>
      </w:pPr>
      <w:r w:rsidRPr="00E465D0">
        <w:rPr>
          <w:rFonts w:eastAsia="Calibri"/>
          <w:noProof/>
          <w:position w:val="-62"/>
        </w:rPr>
        <w:object w:dxaOrig="1900" w:dyaOrig="1040" w14:anchorId="4BBB00D4">
          <v:shape id="_x0000_i1105" type="#_x0000_t75" alt="" style="width:94.7pt;height:51.45pt" o:ole="" o:preferrelative="f">
            <v:imagedata r:id="rId161" o:title=""/>
            <o:lock v:ext="edit" aspectratio="f"/>
          </v:shape>
          <o:OLEObject Type="Embed" ProgID="Equation.DSMT4" ShapeID="_x0000_i1105" DrawAspect="Content" ObjectID="_1784383259" r:id="rId162"/>
        </w:object>
      </w:r>
      <w:r w:rsidR="00177C9D" w:rsidRPr="00E465D0">
        <w:t xml:space="preserve">, </w:t>
      </w:r>
      <w:r w:rsidR="00177C9D" w:rsidRPr="00E465D0">
        <w:tab/>
        <w:t>(</w:t>
      </w:r>
      <w:r w:rsidR="00BB4696" w:rsidRPr="00E465D0">
        <w:t>9</w:t>
      </w:r>
      <w:r w:rsidR="00177C9D" w:rsidRPr="00E465D0">
        <w:t>)</w:t>
      </w:r>
    </w:p>
    <w:p w14:paraId="1B83F073" w14:textId="5CCD7D19" w:rsidR="00177C9D" w:rsidRPr="00E465D0" w:rsidRDefault="00177C9D" w:rsidP="00C2241C">
      <w:pPr>
        <w:spacing w:after="0"/>
      </w:pPr>
      <w:r w:rsidRPr="00E465D0">
        <w:t xml:space="preserve">where </w:t>
      </w:r>
      <w:r w:rsidR="009C5C94" w:rsidRPr="00E465D0">
        <w:rPr>
          <w:position w:val="-14"/>
        </w:rPr>
        <w:object w:dxaOrig="279" w:dyaOrig="380" w14:anchorId="217CD3A2">
          <v:shape id="_x0000_i1106" type="#_x0000_t75" style="width:13.3pt;height:18.85pt" o:ole="" o:preferrelative="f">
            <v:imagedata r:id="rId163" o:title=""/>
            <o:lock v:ext="edit" aspectratio="f"/>
          </v:shape>
          <o:OLEObject Type="Embed" ProgID="Equation.DSMT4" ShapeID="_x0000_i1106" DrawAspect="Content" ObjectID="_1784383260" r:id="rId164"/>
        </w:object>
      </w:r>
      <w:r w:rsidR="00352ED3" w:rsidRPr="00E465D0">
        <w:t xml:space="preserve"> is a vector of individual attributes and </w:t>
      </w:r>
      <w:r w:rsidR="009C5C94" w:rsidRPr="00E465D0">
        <w:rPr>
          <w:rFonts w:eastAsia="Calibri"/>
          <w:noProof/>
          <w:position w:val="-12"/>
        </w:rPr>
        <w:object w:dxaOrig="300" w:dyaOrig="360" w14:anchorId="601BAA04">
          <v:shape id="_x0000_i1107" type="#_x0000_t75" alt="" style="width:15pt;height:18.45pt;mso-width-percent:0;mso-height-percent:0;mso-width-percent:0;mso-height-percent:0" o:ole="" o:preferrelative="f">
            <v:imagedata r:id="rId165" o:title=""/>
            <o:lock v:ext="edit" aspectratio="f"/>
          </v:shape>
          <o:OLEObject Type="Embed" ProgID="Equation.DSMT4" ShapeID="_x0000_i1107" DrawAspect="Content" ObjectID="_1784383261" r:id="rId166"/>
        </w:object>
      </w:r>
      <w:r w:rsidRPr="00E465D0">
        <w:t xml:space="preserve"> is </w:t>
      </w:r>
      <w:r w:rsidR="00352ED3" w:rsidRPr="00E465D0">
        <w:t xml:space="preserve">a </w:t>
      </w:r>
      <w:r w:rsidRPr="00E465D0">
        <w:t xml:space="preserve">corresponding vector of parameters specific to segment </w:t>
      </w:r>
      <w:r w:rsidRPr="00E465D0">
        <w:rPr>
          <w:i/>
        </w:rPr>
        <w:t>h</w:t>
      </w:r>
      <w:r w:rsidR="00352ED3" w:rsidRPr="00E465D0">
        <w:t xml:space="preserve">. </w:t>
      </w:r>
      <w:r w:rsidR="009C5C94" w:rsidRPr="00E465D0">
        <w:rPr>
          <w:rFonts w:eastAsia="Calibri"/>
          <w:noProof/>
          <w:position w:val="-12"/>
        </w:rPr>
        <w:object w:dxaOrig="740" w:dyaOrig="360" w14:anchorId="205655F7">
          <v:shape id="_x0000_i1108" type="#_x0000_t75" alt="" style="width:36.45pt;height:18.45pt" o:ole="" o:preferrelative="f">
            <v:imagedata r:id="rId167" o:title=""/>
            <o:lock v:ext="edit" aspectratio="f"/>
          </v:shape>
          <o:OLEObject Type="Embed" ProgID="Equation.DSMT4" ShapeID="_x0000_i1108" DrawAspect="Content" ObjectID="_1784383262" r:id="rId168"/>
        </w:object>
      </w:r>
      <w:r w:rsidRPr="00E465D0">
        <w:t xml:space="preserve"> serves as a vector identification </w:t>
      </w:r>
      <w:proofErr w:type="gramStart"/>
      <w:r w:rsidRPr="00E465D0">
        <w:t>condition.</w:t>
      </w:r>
      <w:proofErr w:type="gramEnd"/>
      <w:r w:rsidRPr="00E465D0">
        <w:t xml:space="preserve"> Defining </w:t>
      </w:r>
      <w:r w:rsidR="009C5C94" w:rsidRPr="00E465D0">
        <w:rPr>
          <w:rFonts w:eastAsia="Calibri"/>
          <w:noProof/>
          <w:position w:val="-12"/>
        </w:rPr>
        <w:object w:dxaOrig="2659" w:dyaOrig="360" w14:anchorId="2B2C9789">
          <v:shape id="_x0000_i1109" type="#_x0000_t75" alt="" style="width:133.3pt;height:18.45pt" o:ole="" o:preferrelative="f">
            <v:imagedata r:id="rId169" o:title=""/>
            <o:lock v:ext="edit" aspectratio="f"/>
          </v:shape>
          <o:OLEObject Type="Embed" ProgID="Equation.DSMT4" ShapeID="_x0000_i1109" DrawAspect="Content" ObjectID="_1784383263" r:id="rId170"/>
        </w:object>
      </w:r>
      <w:r w:rsidRPr="00E465D0">
        <w:t xml:space="preserve"> then the overall probability </w:t>
      </w:r>
      <w:r w:rsidR="003D216C" w:rsidRPr="00E465D0">
        <w:t xml:space="preserve">for an individual with telework level </w:t>
      </w:r>
      <w:r w:rsidR="003D216C" w:rsidRPr="00E465D0">
        <w:rPr>
          <w:i/>
          <w:iCs/>
        </w:rPr>
        <w:t>k</w:t>
      </w:r>
      <w:r w:rsidR="003D216C" w:rsidRPr="00E465D0">
        <w:t>, and</w:t>
      </w:r>
      <w:r w:rsidR="009C5C94">
        <w:t xml:space="preserve"> </w:t>
      </w:r>
      <w:r w:rsidR="009C5C94" w:rsidRPr="00E465D0">
        <w:rPr>
          <w:noProof/>
          <w:position w:val="-12"/>
        </w:rPr>
        <w:object w:dxaOrig="200" w:dyaOrig="360" w14:anchorId="676260C1">
          <v:shape id="_x0000_i1110" type="#_x0000_t75" style="width:10.3pt;height:18.45pt" o:ole="" o:preferrelative="f">
            <v:imagedata r:id="rId132" o:title=""/>
            <o:lock v:ext="edit" aspectratio="f"/>
          </v:shape>
          <o:OLEObject Type="Embed" ProgID="Equation.DSMT4" ShapeID="_x0000_i1110" DrawAspect="Content" ObjectID="_1784383264" r:id="rId171"/>
        </w:object>
      </w:r>
      <w:r w:rsidR="003D216C" w:rsidRPr="00E465D0">
        <w:rPr>
          <w:noProof/>
        </w:rPr>
        <w:t xml:space="preserve"> maintenance stops and </w:t>
      </w:r>
      <w:r w:rsidR="009C5C94" w:rsidRPr="00E465D0">
        <w:rPr>
          <w:noProof/>
          <w:position w:val="-12"/>
        </w:rPr>
        <w:object w:dxaOrig="220" w:dyaOrig="360" w14:anchorId="7FA6DBCA">
          <v:shape id="_x0000_i1111" type="#_x0000_t75" style="width:10.7pt;height:18.45pt" o:ole="" o:preferrelative="f">
            <v:imagedata r:id="rId134" o:title=""/>
            <o:lock v:ext="edit" aspectratio="f"/>
          </v:shape>
          <o:OLEObject Type="Embed" ProgID="Equation.DSMT4" ShapeID="_x0000_i1111" DrawAspect="Content" ObjectID="_1784383265" r:id="rId172"/>
        </w:object>
      </w:r>
      <w:r w:rsidR="003D216C" w:rsidRPr="00E465D0">
        <w:rPr>
          <w:noProof/>
        </w:rPr>
        <w:t xml:space="preserve"> leisure stops, is </w:t>
      </w:r>
    </w:p>
    <w:p w14:paraId="2FAC2194" w14:textId="5FA5BCAE" w:rsidR="00177C9D" w:rsidRPr="00E465D0" w:rsidRDefault="009C5C94" w:rsidP="009C5C94">
      <w:pPr>
        <w:tabs>
          <w:tab w:val="right" w:pos="9360"/>
        </w:tabs>
        <w:spacing w:before="60" w:after="60"/>
      </w:pPr>
      <w:r w:rsidRPr="00E465D0">
        <w:rPr>
          <w:rFonts w:eastAsia="Calibri"/>
          <w:noProof/>
          <w:position w:val="-28"/>
        </w:rPr>
        <w:object w:dxaOrig="4740" w:dyaOrig="680" w14:anchorId="68BE1C16">
          <v:shape id="_x0000_i1112" type="#_x0000_t75" alt="" style="width:237pt;height:33.85pt" o:ole="" o:preferrelative="f">
            <v:imagedata r:id="rId173" o:title=""/>
            <o:lock v:ext="edit" aspectratio="f"/>
          </v:shape>
          <o:OLEObject Type="Embed" ProgID="Equation.DSMT4" ShapeID="_x0000_i1112" DrawAspect="Content" ObjectID="_1784383266" r:id="rId174"/>
        </w:object>
      </w:r>
      <w:r w:rsidR="00177C9D" w:rsidRPr="00E465D0">
        <w:rPr>
          <w:noProof/>
        </w:rPr>
        <w:tab/>
      </w:r>
      <w:r w:rsidR="00177C9D" w:rsidRPr="00E465D0">
        <w:t>(</w:t>
      </w:r>
      <w:r w:rsidR="00BB4696" w:rsidRPr="00E465D0">
        <w:t>10</w:t>
      </w:r>
      <w:r w:rsidR="00177C9D" w:rsidRPr="00E465D0">
        <w:t>)</w:t>
      </w:r>
    </w:p>
    <w:p w14:paraId="71E00F68" w14:textId="77777777" w:rsidR="00AB55F1" w:rsidRDefault="003D216C" w:rsidP="00AB55F1">
      <w:pPr>
        <w:spacing w:after="0"/>
      </w:pPr>
      <w:r w:rsidRPr="00E465D0">
        <w:t>A maximum likelihood inference procedure is then used to estimate the model parameters.</w:t>
      </w:r>
    </w:p>
    <w:p w14:paraId="3A870E34" w14:textId="2642F5E5" w:rsidR="00177C9D" w:rsidRPr="00E465D0" w:rsidRDefault="003D216C" w:rsidP="00AB55F1">
      <w:pPr>
        <w:spacing w:after="0"/>
      </w:pPr>
      <w:r w:rsidRPr="00E465D0">
        <w:t xml:space="preserve"> </w:t>
      </w:r>
    </w:p>
    <w:p w14:paraId="3E41C07E" w14:textId="07B530F6" w:rsidR="00701E8A" w:rsidRPr="00E465D0" w:rsidRDefault="004628FC" w:rsidP="00E84B6A">
      <w:pPr>
        <w:pStyle w:val="Heading1"/>
        <w:spacing w:before="0"/>
      </w:pPr>
      <w:r w:rsidRPr="00E465D0">
        <w:t>MODEL ESTIMATION RESULTS</w:t>
      </w:r>
    </w:p>
    <w:p w14:paraId="00778DCD" w14:textId="77777777" w:rsidR="001C7B05" w:rsidRPr="00E465D0" w:rsidRDefault="001C7B05" w:rsidP="00E84B6A">
      <w:pPr>
        <w:spacing w:after="0"/>
      </w:pPr>
      <w:r w:rsidRPr="00E465D0">
        <w:t xml:space="preserve">The final model specification was developed through a systematic approach involving the testing of alternative functional forms and combinations of explanatory variables, with the exclusion of statistically insignificant ones. The estimation process employed codes and routines written by the research group in the GAUSS matrix programming language (Aptech, 2022). Exogenous variables, all gathered in categorical form, were treated as dummy variables in their most disaggregate form. These dummy variables were progressively aggregated based on statistical tests, resulting in parsimonious specifications. Additionally, we examined the influence of the count of both leisure and maintenance stops on telework frequency for the NT causal latent segment. This exploration involved the consideration of stop counts as such (resulting in a linear effect of the count on teleworking propensity) and as a series of dummy variable representing different ranges (allowing for non-linear effects). Throughout our extensive explorations, the dummy variable representation for nonwork stop counts (for the NT segment) consistently showed better performance compared to the “linear count-as-such” specification. Similarly, we investigated the impact of different telework frequency groupings on both leisure and maintenance trips within the TN causal latent segment. This involved considering each of the seven ordinal categories individually and in various combinations, expressed as a series of dummy endogenous explanatory variables. </w:t>
      </w:r>
    </w:p>
    <w:p w14:paraId="342CEB0D" w14:textId="6DC369EE" w:rsidR="004628FC" w:rsidRPr="00E465D0" w:rsidRDefault="004628FC" w:rsidP="00E84B6A">
      <w:pPr>
        <w:spacing w:after="0"/>
        <w:ind w:firstLine="720"/>
      </w:pPr>
      <w:r w:rsidRPr="00E465D0">
        <w:t xml:space="preserve">Several additional points regarding our estimation procedure and specification merit attention </w:t>
      </w:r>
      <w:r w:rsidR="00AE7204" w:rsidRPr="00E465D0">
        <w:t>here</w:t>
      </w:r>
      <w:r w:rsidRPr="00E465D0">
        <w:t xml:space="preserve">. First, the objective </w:t>
      </w:r>
      <w:r w:rsidR="00C11034" w:rsidRPr="00E465D0">
        <w:t xml:space="preserve">of </w:t>
      </w:r>
      <w:r w:rsidRPr="00E465D0">
        <w:t xml:space="preserve">this study is to explore causal relationships at the individual level between exogenous variables and the targeted outcomes, as well as the causal relationships between the outcomes themselves. In conducting such a causal analysis, there is no </w:t>
      </w:r>
      <w:r w:rsidR="00AE7204" w:rsidRPr="00E465D0">
        <w:t xml:space="preserve">specific need </w:t>
      </w:r>
      <w:r w:rsidRPr="00E465D0">
        <w:t>for the exogenous variable</w:t>
      </w:r>
      <w:r w:rsidR="00AE7204" w:rsidRPr="00E465D0">
        <w:t xml:space="preserve"> distribution</w:t>
      </w:r>
      <w:r w:rsidRPr="00E465D0">
        <w:t xml:space="preserve"> to </w:t>
      </w:r>
      <w:r w:rsidR="00AE7204" w:rsidRPr="00E465D0">
        <w:t xml:space="preserve">reflect </w:t>
      </w:r>
      <w:r w:rsidRPr="00E465D0">
        <w:t>th</w:t>
      </w:r>
      <w:r w:rsidR="00AE7204" w:rsidRPr="00E465D0">
        <w:t>at of the</w:t>
      </w:r>
      <w:r w:rsidRPr="00E465D0">
        <w:t xml:space="preserve"> population of interest. For instance, variations in telework and </w:t>
      </w:r>
      <w:bookmarkStart w:id="7" w:name="_Hlk173040432"/>
      <w:r w:rsidRPr="00E465D0">
        <w:t xml:space="preserve">nonwork travel </w:t>
      </w:r>
      <w:bookmarkEnd w:id="7"/>
      <w:r w:rsidRPr="00E465D0">
        <w:t>across different age groups are a</w:t>
      </w:r>
      <w:r w:rsidR="00593AAC" w:rsidRPr="00E465D0">
        <w:t>ccommodated</w:t>
      </w:r>
      <w:r w:rsidRPr="00E465D0">
        <w:t xml:space="preserve"> through the inclusion of exogenous </w:t>
      </w:r>
      <w:r w:rsidR="005D4542">
        <w:t>“</w:t>
      </w:r>
      <w:r w:rsidRPr="00E465D0">
        <w:t>age</w:t>
      </w:r>
      <w:r w:rsidR="005D4542">
        <w:t>”</w:t>
      </w:r>
      <w:r w:rsidRPr="00E465D0">
        <w:t xml:space="preserve"> category variables. Consequently, </w:t>
      </w:r>
      <w:r w:rsidR="00593AAC" w:rsidRPr="00E465D0">
        <w:t xml:space="preserve">what is important is that there be adequate </w:t>
      </w:r>
      <w:r w:rsidRPr="00E465D0">
        <w:t xml:space="preserve">variation in the age variable within the sample to test </w:t>
      </w:r>
      <w:r w:rsidR="00AE7204" w:rsidRPr="00E465D0">
        <w:t xml:space="preserve">different </w:t>
      </w:r>
      <w:r w:rsidRPr="00E465D0">
        <w:t xml:space="preserve">functional forms </w:t>
      </w:r>
      <w:r w:rsidR="00AE7204" w:rsidRPr="00E465D0">
        <w:t>to capture the age effect</w:t>
      </w:r>
      <w:r w:rsidRPr="00E465D0">
        <w:t>. Moreover, our sampling strategy</w:t>
      </w:r>
      <w:r w:rsidR="00AE7204" w:rsidRPr="00E465D0">
        <w:t>, while a convenience sample,</w:t>
      </w:r>
      <w:r w:rsidRPr="00E465D0">
        <w:t xml:space="preserve"> </w:t>
      </w:r>
      <w:r w:rsidR="00AE7204" w:rsidRPr="00E465D0">
        <w:t xml:space="preserve">is not based </w:t>
      </w:r>
      <w:r w:rsidR="00AE7204" w:rsidRPr="00E465D0">
        <w:lastRenderedPageBreak/>
        <w:t xml:space="preserve">on targeting respondents based on </w:t>
      </w:r>
      <w:r w:rsidRPr="00E465D0">
        <w:t xml:space="preserve">whether </w:t>
      </w:r>
      <w:r w:rsidR="00AE7204" w:rsidRPr="00E465D0">
        <w:t xml:space="preserve">they </w:t>
      </w:r>
      <w:r w:rsidRPr="00E465D0">
        <w:t xml:space="preserve">engage in telework or the frequency of their leisure or maintenance </w:t>
      </w:r>
      <w:r w:rsidR="007216AC" w:rsidRPr="00E465D0">
        <w:t>stops</w:t>
      </w:r>
      <w:r w:rsidRPr="00E465D0">
        <w:t xml:space="preserve"> (that is, our sampl</w:t>
      </w:r>
      <w:r w:rsidR="00EE10CD" w:rsidRPr="00E465D0">
        <w:t xml:space="preserve">ing strategy corresponds to </w:t>
      </w:r>
      <w:r w:rsidRPr="00E465D0">
        <w:t xml:space="preserve">exogenous sampling, where the collection process is not contingent on the endogenous outcome values). Therefore, an unweighted estimation is appropriate, offering consistent and more efficient estimates compared to a weighted estimation procedure, as extensively discussed by Wooldridge (1995) and Solon et al. (2015). </w:t>
      </w:r>
    </w:p>
    <w:p w14:paraId="5AF632A6" w14:textId="5E7DEC0A" w:rsidR="001C7B05" w:rsidRPr="00E465D0" w:rsidRDefault="004628FC" w:rsidP="00E84B6A">
      <w:pPr>
        <w:spacing w:after="0"/>
        <w:ind w:firstLine="720"/>
      </w:pPr>
      <w:r w:rsidRPr="00E465D0">
        <w:t xml:space="preserve">Second, </w:t>
      </w:r>
      <w:r w:rsidR="00593AAC" w:rsidRPr="00E465D0">
        <w:t xml:space="preserve">we tested differential </w:t>
      </w:r>
      <w:r w:rsidR="00EE10CD" w:rsidRPr="00E465D0">
        <w:t xml:space="preserve">effects of </w:t>
      </w:r>
      <w:r w:rsidRPr="00E465D0">
        <w:t>exogenous variables</w:t>
      </w:r>
      <w:r w:rsidR="00EE10CD" w:rsidRPr="00E465D0">
        <w:t xml:space="preserve"> on telework and nonwork </w:t>
      </w:r>
      <w:r w:rsidR="007216AC" w:rsidRPr="00E465D0">
        <w:t xml:space="preserve">stop </w:t>
      </w:r>
      <w:r w:rsidR="00EE10CD" w:rsidRPr="00E465D0">
        <w:t>counts</w:t>
      </w:r>
      <w:r w:rsidR="00593AAC" w:rsidRPr="00E465D0">
        <w:t xml:space="preserve"> </w:t>
      </w:r>
      <w:r w:rsidRPr="00E465D0">
        <w:t xml:space="preserve">across both </w:t>
      </w:r>
      <w:r w:rsidR="00EE10CD" w:rsidRPr="00E465D0">
        <w:t xml:space="preserve">the NT </w:t>
      </w:r>
      <w:r w:rsidR="001C7B05" w:rsidRPr="00E465D0">
        <w:t xml:space="preserve">and TN </w:t>
      </w:r>
      <w:r w:rsidRPr="00E465D0">
        <w:t xml:space="preserve">latent segments. </w:t>
      </w:r>
      <w:r w:rsidR="00593AAC" w:rsidRPr="00E465D0">
        <w:t>But none of these came out to be statistically significant</w:t>
      </w:r>
      <w:r w:rsidR="00BF6715" w:rsidRPr="00E465D0">
        <w:t xml:space="preserve">. Further, we also did not see any substantial </w:t>
      </w:r>
      <w:r w:rsidRPr="00E465D0">
        <w:t xml:space="preserve">theoretical or conceptual rationale to anticipate differential effects of exogenous variables on telework and nonwork </w:t>
      </w:r>
      <w:r w:rsidR="007216AC" w:rsidRPr="00E465D0">
        <w:t xml:space="preserve">stops </w:t>
      </w:r>
      <w:r w:rsidRPr="00E465D0">
        <w:t xml:space="preserve">across segments, merely based on the direction of </w:t>
      </w:r>
      <w:r w:rsidR="00BF6715" w:rsidRPr="00E465D0">
        <w:t xml:space="preserve">NT </w:t>
      </w:r>
      <w:r w:rsidR="001C7B05" w:rsidRPr="00E465D0">
        <w:t xml:space="preserve">or TN </w:t>
      </w:r>
      <w:r w:rsidRPr="00E465D0">
        <w:t xml:space="preserve">causality. For example, there is no reason to assume that the inclination of </w:t>
      </w:r>
      <w:r w:rsidR="00701E8A" w:rsidRPr="00E465D0">
        <w:t xml:space="preserve">those with graduate education </w:t>
      </w:r>
      <w:r w:rsidRPr="00E465D0">
        <w:t xml:space="preserve">to telework </w:t>
      </w:r>
      <w:r w:rsidR="00701E8A" w:rsidRPr="00E465D0">
        <w:t xml:space="preserve">more </w:t>
      </w:r>
      <w:r w:rsidRPr="00E465D0">
        <w:t xml:space="preserve">than </w:t>
      </w:r>
      <w:r w:rsidR="00701E8A" w:rsidRPr="00E465D0">
        <w:t xml:space="preserve">those with lower formal education </w:t>
      </w:r>
      <w:r w:rsidRPr="00E465D0">
        <w:t>should vary depending on</w:t>
      </w:r>
      <w:r w:rsidR="00701E8A" w:rsidRPr="00E465D0">
        <w:t xml:space="preserve"> </w:t>
      </w:r>
      <w:r w:rsidRPr="00E465D0">
        <w:t>the causal direction</w:t>
      </w:r>
      <w:r w:rsidR="00701E8A" w:rsidRPr="00E465D0">
        <w:t xml:space="preserve"> of effect</w:t>
      </w:r>
      <w:r w:rsidRPr="00E465D0">
        <w:t xml:space="preserve">. Similarly, there is no </w:t>
      </w:r>
      <w:r w:rsidR="00701E8A" w:rsidRPr="00E465D0">
        <w:t xml:space="preserve">immediate reason </w:t>
      </w:r>
      <w:r w:rsidRPr="00E465D0">
        <w:t xml:space="preserve">to believe that a person's gender </w:t>
      </w:r>
      <w:r w:rsidR="00C11034" w:rsidRPr="00E465D0">
        <w:t xml:space="preserve">or </w:t>
      </w:r>
      <w:r w:rsidRPr="00E465D0">
        <w:t xml:space="preserve">age should differentially influence nonwork </w:t>
      </w:r>
      <w:r w:rsidR="007216AC" w:rsidRPr="00E465D0">
        <w:t>stop-making</w:t>
      </w:r>
      <w:r w:rsidRPr="00E465D0">
        <w:t xml:space="preserve"> solely based on the causal direction </w:t>
      </w:r>
      <w:r w:rsidR="00701E8A" w:rsidRPr="00E465D0">
        <w:t>at</w:t>
      </w:r>
      <w:r w:rsidRPr="00E465D0">
        <w:t xml:space="preserve"> play. However, recognizing the potential for variation in the unobserved association between the telework and nonwork travel dimensions across </w:t>
      </w:r>
      <w:r w:rsidR="00EE10CD" w:rsidRPr="00E465D0">
        <w:t xml:space="preserve">the two </w:t>
      </w:r>
      <w:r w:rsidRPr="00E465D0">
        <w:t>segments, we permit the co</w:t>
      </w:r>
      <w:r w:rsidR="00EE10CD" w:rsidRPr="00E465D0">
        <w:t>rrelation</w:t>
      </w:r>
      <w:r w:rsidRPr="00E465D0">
        <w:t xml:space="preserve"> elements </w:t>
      </w:r>
      <w:r w:rsidR="00EE10CD" w:rsidRPr="00E465D0">
        <w:t xml:space="preserve">across the </w:t>
      </w:r>
      <w:r w:rsidRPr="00E465D0">
        <w:t xml:space="preserve">dimensions to differ by segment. </w:t>
      </w:r>
      <w:r w:rsidR="001C7B05" w:rsidRPr="00E465D0">
        <w:t xml:space="preserve">Additionally, since different causal directions of effects are present (introducing the nonwork count outcome in the telework propensity for the NT segment and the telework outcome in the nonwork stop propensities for the TN segment), we allow </w:t>
      </w:r>
      <w:r w:rsidR="00B1014E" w:rsidRPr="00E465D0">
        <w:t xml:space="preserve">the constant/threshold coefficients for teleworking, the constant coefficient in the </w:t>
      </w:r>
      <w:r w:rsidR="00B1014E" w:rsidRPr="00E465D0">
        <w:rPr>
          <w:position w:val="-10"/>
        </w:rPr>
        <w:object w:dxaOrig="240" w:dyaOrig="264" w14:anchorId="6B2F7382">
          <v:shape id="_x0000_i1113" type="#_x0000_t75" style="width:12pt;height:14.15pt" o:ole="">
            <v:imagedata r:id="rId175" o:title=""/>
          </v:shape>
          <o:OLEObject Type="Embed" ProgID="Equation.DSMT4" ShapeID="_x0000_i1113" DrawAspect="Content" ObjectID="_1784383267" r:id="rId176"/>
        </w:object>
      </w:r>
      <w:r w:rsidR="00B1014E" w:rsidRPr="00E465D0">
        <w:t xml:space="preserve">vector , and the elements of the </w:t>
      </w:r>
      <w:r w:rsidR="00B1014E" w:rsidRPr="00E465D0">
        <w:rPr>
          <w:position w:val="-6"/>
        </w:rPr>
        <w:object w:dxaOrig="204" w:dyaOrig="216" w14:anchorId="166F28BB">
          <v:shape id="_x0000_i1114" type="#_x0000_t75" style="width:10.7pt;height:10.7pt" o:ole="">
            <v:imagedata r:id="rId177" o:title=""/>
          </v:shape>
          <o:OLEObject Type="Embed" ProgID="Equation.DSMT4" ShapeID="_x0000_i1114" DrawAspect="Content" ObjectID="_1784383268" r:id="rId178"/>
        </w:object>
      </w:r>
      <w:r w:rsidR="00B1014E" w:rsidRPr="00E465D0">
        <w:t xml:space="preserve"> vector to be freely estimated across the segments.</w:t>
      </w:r>
    </w:p>
    <w:p w14:paraId="34C1EDD6" w14:textId="77777777" w:rsidR="001C7B05" w:rsidRPr="00E465D0" w:rsidRDefault="001C7B05" w:rsidP="00E84B6A">
      <w:pPr>
        <w:spacing w:after="0"/>
        <w:ind w:firstLine="720"/>
      </w:pPr>
      <w:r w:rsidRPr="00E465D0">
        <w:t xml:space="preserve">Third, we conducted a comprehensive examination of multiple interaction effects involving variables, particularly those associated with gendered life cycles, such as the interaction of gender with the presence of children and household structure. Additionally, we explored the interaction between telework decisions (nonwork stop-making choices) with demographic/residential neighborhood density dummy variables for the NT (TN) causal segments. None of these interactions turned out to be important. Important to note, however, is that the interaction effects of the endogenous effects of one outcome on another are still being implicitly captured through the sociodemographic and residential variables that appear in the latent segmentation model. </w:t>
      </w:r>
    </w:p>
    <w:p w14:paraId="4ADEB733" w14:textId="16F9FB8D" w:rsidR="00D96BA7" w:rsidRPr="00CF1FFC" w:rsidRDefault="00C27272" w:rsidP="00E84B6A">
      <w:pPr>
        <w:shd w:val="clear" w:color="auto" w:fill="FFFFFF"/>
        <w:spacing w:after="0"/>
        <w:ind w:firstLine="720"/>
      </w:pPr>
      <w:r w:rsidRPr="00E465D0">
        <w:t xml:space="preserve">Fourth, we did use a lower confidence level (than the typical 95% confidence level) to reject the null hypothesis that a variable had no effect on the endogenous outcomes. </w:t>
      </w:r>
      <w:r w:rsidR="00F36709" w:rsidRPr="00E465D0">
        <w:t>That is, we were more liberal than usual in keeping variables in to explain the endogenous outcomes. In multidimensional models such as the one in the current paper (especially with latent segmentation), it is particularly important to maintain a delicate balance between including variables incorrectly (Type I error) and excluding variables incorrectly (Type II error). We decided to err a little more on the side of including variables incorrectly (a larger type I error) than on excluding variables incorrectly, and so used an 80% confidence level. However, we should mention that there were only a few effects that were not statistically significant at the 95% level, but significant at the more liberal 80% confidence level. Besides, removing these effects had little to no impact on the effects and statistical significance of other variables. Additionally, the effects</w:t>
      </w:r>
      <w:r w:rsidR="00262194" w:rsidRPr="00E465D0">
        <w:t xml:space="preserve"> that</w:t>
      </w:r>
      <w:r w:rsidR="00F36709" w:rsidRPr="00E465D0">
        <w:t xml:space="preserve"> </w:t>
      </w:r>
      <w:r w:rsidR="00D96BA7" w:rsidRPr="00E465D0">
        <w:t>turn</w:t>
      </w:r>
      <w:r w:rsidR="00262194" w:rsidRPr="00E465D0">
        <w:t>ed</w:t>
      </w:r>
      <w:r w:rsidR="00D96BA7" w:rsidRPr="00E465D0">
        <w:t xml:space="preserve"> up </w:t>
      </w:r>
      <w:r w:rsidR="00262194" w:rsidRPr="00E465D0">
        <w:t xml:space="preserve">to be </w:t>
      </w:r>
      <w:r w:rsidR="00F36709" w:rsidRPr="00E465D0">
        <w:t>significant only at the weaker 80% level had the same directio</w:t>
      </w:r>
      <w:r w:rsidR="00D96BA7" w:rsidRPr="00E465D0">
        <w:t>n</w:t>
      </w:r>
      <w:r w:rsidR="00F36709" w:rsidRPr="00E465D0">
        <w:t xml:space="preserve"> of effect and stayed at about the same magnitude </w:t>
      </w:r>
      <w:r w:rsidR="00D96BA7" w:rsidRPr="00E465D0">
        <w:t xml:space="preserve">over a whole variety of specifications, lending more credibility and validity in keeping these effects </w:t>
      </w:r>
      <w:r w:rsidR="00F36709" w:rsidRPr="00E465D0">
        <w:t>(</w:t>
      </w:r>
      <w:r w:rsidR="00F36709" w:rsidRPr="00E465D0">
        <w:rPr>
          <w:color w:val="000000" w:themeColor="text1"/>
        </w:rPr>
        <w:t>Lu and White, 2014, Srivastava et al., 2018, and Brennan et al. 2021 suggest this kind of robustness testing)</w:t>
      </w:r>
      <w:r w:rsidR="00F36709" w:rsidRPr="00E465D0">
        <w:t xml:space="preserve">. </w:t>
      </w:r>
    </w:p>
    <w:p w14:paraId="628FEBCB" w14:textId="15F2A512" w:rsidR="004628FC" w:rsidRPr="00E465D0" w:rsidRDefault="004628FC" w:rsidP="00E84B6A">
      <w:pPr>
        <w:spacing w:after="0"/>
        <w:ind w:firstLine="720"/>
      </w:pPr>
      <w:r w:rsidRPr="00E465D0">
        <w:lastRenderedPageBreak/>
        <w:t>F</w:t>
      </w:r>
      <w:r w:rsidR="00D96BA7" w:rsidRPr="00E465D0">
        <w:t>ifth</w:t>
      </w:r>
      <w:r w:rsidRPr="00E465D0">
        <w:t xml:space="preserve">, to reiterate two key points: </w:t>
      </w:r>
      <w:r w:rsidR="00EE10CD" w:rsidRPr="00E465D0">
        <w:t>(</w:t>
      </w:r>
      <w:r w:rsidRPr="00E465D0">
        <w:t xml:space="preserve">a) all respondents in the study are full-time employees, and </w:t>
      </w:r>
      <w:r w:rsidR="00EE10CD" w:rsidRPr="00E465D0">
        <w:t>(</w:t>
      </w:r>
      <w:r w:rsidRPr="00E465D0">
        <w:t>b) all maintenance and leisure trips documented took place on weekdays during the employees</w:t>
      </w:r>
      <w:r w:rsidR="00E84B6A">
        <w:t>’</w:t>
      </w:r>
      <w:r w:rsidRPr="00E465D0">
        <w:t xml:space="preserve"> work week.</w:t>
      </w:r>
    </w:p>
    <w:p w14:paraId="70ACAA4C" w14:textId="4F8F65EF" w:rsidR="00AB55F1" w:rsidRDefault="00D96BA7" w:rsidP="00E84B6A">
      <w:pPr>
        <w:spacing w:after="0"/>
        <w:ind w:firstLine="720"/>
      </w:pPr>
      <w:r w:rsidRPr="00E465D0">
        <w:t>With the above preliminaries, t</w:t>
      </w:r>
      <w:r w:rsidR="004628FC" w:rsidRPr="00E465D0">
        <w:t xml:space="preserve">he results </w:t>
      </w:r>
      <w:r w:rsidR="007216AC" w:rsidRPr="00E465D0">
        <w:t>are presented in the following sequence. I</w:t>
      </w:r>
      <w:r w:rsidR="004628FC" w:rsidRPr="00E465D0">
        <w:t xml:space="preserve">n Table </w:t>
      </w:r>
      <w:r w:rsidR="000C6C6A" w:rsidRPr="00E465D0">
        <w:t>4</w:t>
      </w:r>
      <w:r w:rsidR="007216AC" w:rsidRPr="00E465D0">
        <w:t>, we</w:t>
      </w:r>
      <w:r w:rsidR="000C6C6A" w:rsidRPr="00E465D0">
        <w:t xml:space="preserve"> </w:t>
      </w:r>
      <w:r w:rsidR="004628FC" w:rsidRPr="00E465D0">
        <w:t xml:space="preserve">present </w:t>
      </w:r>
      <w:r w:rsidR="007216AC" w:rsidRPr="00E465D0">
        <w:t xml:space="preserve">the </w:t>
      </w:r>
      <w:r w:rsidR="004628FC" w:rsidRPr="00E465D0">
        <w:t xml:space="preserve">effects </w:t>
      </w:r>
      <w:r w:rsidR="007216AC" w:rsidRPr="00E465D0">
        <w:t xml:space="preserve">of variables </w:t>
      </w:r>
      <w:r w:rsidR="004628FC" w:rsidRPr="00E465D0">
        <w:t>con</w:t>
      </w:r>
      <w:r w:rsidR="007216AC" w:rsidRPr="00E465D0">
        <w:t xml:space="preserve">ditional </w:t>
      </w:r>
      <w:r w:rsidR="004628FC" w:rsidRPr="00E465D0">
        <w:t>on membership in the NT</w:t>
      </w:r>
      <w:r w:rsidR="00FE0D98">
        <w:t>/TN</w:t>
      </w:r>
      <w:r w:rsidR="004628FC" w:rsidRPr="00E465D0">
        <w:t xml:space="preserve"> segments. </w:t>
      </w:r>
      <w:r w:rsidR="007216AC" w:rsidRPr="00E465D0">
        <w:t xml:space="preserve">Next, in Table 5, </w:t>
      </w:r>
      <w:r w:rsidR="001C7B05" w:rsidRPr="00E465D0">
        <w:t>we present the effects of variables on the membership of the NT/TN segments, using the TN segment as the base. For quick identification, we label the two segments as follows: (a) the NT segment</w:t>
      </w:r>
      <w:r w:rsidR="00FE0D98">
        <w:t>,</w:t>
      </w:r>
      <w:r w:rsidR="001C7B05" w:rsidRPr="00E465D0">
        <w:t xml:space="preserve"> wherein nonwork stop desires affect telework habit</w:t>
      </w:r>
      <w:r w:rsidR="00FE0D98">
        <w:t xml:space="preserve">s, is </w:t>
      </w:r>
      <w:r w:rsidR="001C7B05" w:rsidRPr="00E465D0">
        <w:t xml:space="preserve">labeled as the </w:t>
      </w:r>
      <w:r w:rsidR="005D4542">
        <w:t>“</w:t>
      </w:r>
      <w:r w:rsidR="001C7B05" w:rsidRPr="00E465D0">
        <w:t>player</w:t>
      </w:r>
      <w:r w:rsidR="005D4542">
        <w:t>”</w:t>
      </w:r>
      <w:r w:rsidR="001C7B05" w:rsidRPr="00E465D0">
        <w:t xml:space="preserve"> segment (that is, individuals in this segment </w:t>
      </w:r>
      <w:r w:rsidR="00B1014E" w:rsidRPr="00E465D0">
        <w:t>prioritize</w:t>
      </w:r>
      <w:r w:rsidR="001C7B05" w:rsidRPr="00E465D0">
        <w:t xml:space="preserve"> “play” in nonwork activities and subsequently consider their telework options to conform to their nonwork desires), and (b) the TN segment</w:t>
      </w:r>
      <w:r w:rsidR="00FE0D98">
        <w:t>,</w:t>
      </w:r>
      <w:r w:rsidR="001C7B05" w:rsidRPr="00E465D0">
        <w:t xml:space="preserve"> wherein telework frequency affects the number of leisure or maintenance stops, is labeled as the </w:t>
      </w:r>
      <w:r w:rsidR="005D4542">
        <w:t>“</w:t>
      </w:r>
      <w:r w:rsidR="001C7B05" w:rsidRPr="00E465D0">
        <w:t>worker</w:t>
      </w:r>
      <w:r w:rsidR="005D4542">
        <w:t>”</w:t>
      </w:r>
      <w:r w:rsidR="001C7B05" w:rsidRPr="00E465D0">
        <w:t xml:space="preserve"> segment (that is, individuals in this segment generally prioritize their work arrangement, which then tends to affect their nonwork activity pursuits). This labeling is simply for ease in presentation; it has nothing to do with the level of commitment to work or play. Also, note that these effects represent causal pathway effects after considering unobserved associations due to unobserved factors. Thus, the model we present is a joint “package” model of telework frequency and nonwork stop-making.</w:t>
      </w:r>
    </w:p>
    <w:p w14:paraId="4655C5EE" w14:textId="343F04EC" w:rsidR="004628FC" w:rsidRPr="00E465D0" w:rsidRDefault="001C7B05" w:rsidP="00E84B6A">
      <w:pPr>
        <w:spacing w:after="0"/>
        <w:ind w:firstLine="720"/>
      </w:pPr>
      <w:r w:rsidRPr="00E465D0">
        <w:t xml:space="preserve"> </w:t>
      </w:r>
      <w:r w:rsidR="0047302E" w:rsidRPr="00E465D0">
        <w:t xml:space="preserve"> </w:t>
      </w:r>
    </w:p>
    <w:p w14:paraId="6397069D" w14:textId="5228A7E7" w:rsidR="004628FC" w:rsidRPr="00E465D0" w:rsidRDefault="005C29FA" w:rsidP="00E84B6A">
      <w:pPr>
        <w:pStyle w:val="Heading2"/>
        <w:spacing w:before="0"/>
      </w:pPr>
      <w:r w:rsidRPr="00E465D0">
        <w:t>Variable Effects</w:t>
      </w:r>
    </w:p>
    <w:p w14:paraId="33E595FE" w14:textId="57EEA62D" w:rsidR="004628FC" w:rsidRPr="00E465D0" w:rsidRDefault="004628FC" w:rsidP="00E84B6A">
      <w:pPr>
        <w:pStyle w:val="Heading3"/>
      </w:pPr>
      <w:r w:rsidRPr="00E465D0">
        <w:t>Gendered Lifecycle Characteristics</w:t>
      </w:r>
    </w:p>
    <w:p w14:paraId="5DDC52FA" w14:textId="77777777" w:rsidR="00E84B6A" w:rsidRDefault="004628FC" w:rsidP="00E84B6A">
      <w:pPr>
        <w:spacing w:after="0"/>
      </w:pPr>
      <w:r w:rsidRPr="00E465D0">
        <w:t xml:space="preserve">Several insights emerge from the analysis of variables related to gender, the presence of children, and living arrangements. In </w:t>
      </w:r>
      <w:r w:rsidR="000E12D1" w:rsidRPr="00E465D0">
        <w:t xml:space="preserve">investigating the effects of these variables, we examined the variables individually but also as a collective to explore gendered lifecycle effects. As can be observed from Table </w:t>
      </w:r>
      <w:r w:rsidR="0039755C" w:rsidRPr="00E465D0">
        <w:t xml:space="preserve">4, </w:t>
      </w:r>
      <w:r w:rsidR="000E12D1" w:rsidRPr="00E465D0">
        <w:t xml:space="preserve">while </w:t>
      </w:r>
      <w:r w:rsidR="00081689" w:rsidRPr="00E465D0">
        <w:t xml:space="preserve">identifying as a woman </w:t>
      </w:r>
      <w:r w:rsidR="000E12D1" w:rsidRPr="00E465D0">
        <w:t>and the</w:t>
      </w:r>
      <w:r w:rsidR="00B1014E" w:rsidRPr="00E465D0">
        <w:t xml:space="preserve"> </w:t>
      </w:r>
      <w:r w:rsidR="000E12D1" w:rsidRPr="00E465D0">
        <w:t>presence of children do not have</w:t>
      </w:r>
      <w:r w:rsidR="00081689" w:rsidRPr="00E465D0">
        <w:t xml:space="preserve"> </w:t>
      </w:r>
      <w:r w:rsidR="00B1014E" w:rsidRPr="00E465D0">
        <w:t xml:space="preserve">main </w:t>
      </w:r>
      <w:r w:rsidR="000E12D1" w:rsidRPr="00E465D0">
        <w:t>effects on teleworking</w:t>
      </w:r>
      <w:r w:rsidR="00081689" w:rsidRPr="00E465D0">
        <w:t xml:space="preserve"> propensity</w:t>
      </w:r>
      <w:r w:rsidR="000E12D1" w:rsidRPr="00E465D0">
        <w:t xml:space="preserve">, the interaction of the two does. In particular, </w:t>
      </w:r>
      <w:r w:rsidR="00AF2CB8" w:rsidRPr="00E465D0">
        <w:t xml:space="preserve">single </w:t>
      </w:r>
      <w:r w:rsidR="0018242F" w:rsidRPr="00E465D0">
        <w:t>mothers</w:t>
      </w:r>
      <w:r w:rsidR="00AF2CB8" w:rsidRPr="00E465D0">
        <w:t xml:space="preserve"> </w:t>
      </w:r>
      <w:r w:rsidR="0018578B" w:rsidRPr="00E465D0">
        <w:t xml:space="preserve">(relative to men, non-mothers, and non-single mothers) </w:t>
      </w:r>
      <w:r w:rsidR="000E12D1" w:rsidRPr="00E465D0">
        <w:t xml:space="preserve">display a higher propensity to telework, </w:t>
      </w:r>
      <w:r w:rsidR="00AF2CB8" w:rsidRPr="00E465D0">
        <w:t xml:space="preserve">while </w:t>
      </w:r>
      <w:r w:rsidR="000E12D1" w:rsidRPr="00E465D0">
        <w:t xml:space="preserve">non-single mothers </w:t>
      </w:r>
      <w:r w:rsidR="0018578B" w:rsidRPr="00E465D0">
        <w:t xml:space="preserve">(relative to men, non-mothers, and single mothers) </w:t>
      </w:r>
      <w:r w:rsidR="00AF2CB8" w:rsidRPr="00E465D0">
        <w:t xml:space="preserve">have a lower </w:t>
      </w:r>
      <w:r w:rsidR="0018578B" w:rsidRPr="00E465D0">
        <w:t xml:space="preserve">teleworking </w:t>
      </w:r>
      <w:r w:rsidR="00AF2CB8" w:rsidRPr="00E465D0">
        <w:t xml:space="preserve">propensity than other individuals. </w:t>
      </w:r>
      <w:r w:rsidR="00A23F99" w:rsidRPr="00E465D0">
        <w:t xml:space="preserve">Single mothers tend to be income-poor and time poor, and teleworking offers an avenue to reduce commute costs and time, while also </w:t>
      </w:r>
      <w:r w:rsidR="0018578B" w:rsidRPr="00E465D0">
        <w:t xml:space="preserve">bringing in money through work and </w:t>
      </w:r>
      <w:r w:rsidR="000D7D04" w:rsidRPr="00E465D0">
        <w:t xml:space="preserve">freeing up </w:t>
      </w:r>
      <w:r w:rsidR="0018578B" w:rsidRPr="00E465D0">
        <w:t>more time to spend with children (see Beckman, 2022; Schieman et al</w:t>
      </w:r>
      <w:r w:rsidR="006B77B9">
        <w:t>.</w:t>
      </w:r>
      <w:r w:rsidR="0018578B" w:rsidRPr="00E465D0">
        <w:t>, 2021). In contrast,</w:t>
      </w:r>
      <w:r w:rsidR="00CB1EA3" w:rsidRPr="00E465D0">
        <w:t xml:space="preserve"> </w:t>
      </w:r>
      <w:r w:rsidR="0018578B" w:rsidRPr="00E465D0">
        <w:t xml:space="preserve">non-single mothers may prefer an office environment </w:t>
      </w:r>
      <w:r w:rsidR="00CB1EA3" w:rsidRPr="00E465D0">
        <w:t xml:space="preserve">to compartmentalize their professional and </w:t>
      </w:r>
      <w:r w:rsidR="008B0261" w:rsidRPr="00E465D0">
        <w:t xml:space="preserve">home-based </w:t>
      </w:r>
      <w:r w:rsidR="00CB1EA3" w:rsidRPr="00E465D0">
        <w:t>family/childcare responsibilities, especially given that mothers continue to shoulder a disproportionate share of the latter responsibilities relative to men and non-mothers (see Mondal</w:t>
      </w:r>
      <w:r w:rsidR="001F0C25" w:rsidRPr="00E465D0">
        <w:t xml:space="preserve"> and Bhat</w:t>
      </w:r>
      <w:r w:rsidR="00CB1EA3" w:rsidRPr="00E465D0">
        <w:t>, 202</w:t>
      </w:r>
      <w:r w:rsidR="001F0C25" w:rsidRPr="00E465D0">
        <w:t>1</w:t>
      </w:r>
      <w:r w:rsidR="00CB1EA3" w:rsidRPr="00E465D0">
        <w:t xml:space="preserve"> and Del Boca, 2020). </w:t>
      </w:r>
      <w:r w:rsidR="008B0261" w:rsidRPr="00E465D0">
        <w:t xml:space="preserve">Interestingly, our results also suggest that this increased home-based family/childcare responsibilities for </w:t>
      </w:r>
      <w:r w:rsidR="00533680" w:rsidRPr="00E465D0">
        <w:t xml:space="preserve">non-single </w:t>
      </w:r>
      <w:r w:rsidR="008B0261" w:rsidRPr="00E465D0">
        <w:t>mothers does not necessarily extend to out</w:t>
      </w:r>
      <w:r w:rsidR="001B4481" w:rsidRPr="00E465D0">
        <w:t>side</w:t>
      </w:r>
      <w:r w:rsidR="008B0261" w:rsidRPr="00E465D0">
        <w:t>-of-home maintenance stops</w:t>
      </w:r>
      <w:r w:rsidR="001136A2" w:rsidRPr="00E465D0">
        <w:t xml:space="preserve">. However, women, regardless of their parental status, tend to make more maintenance stops than men. </w:t>
      </w:r>
      <w:r w:rsidR="00533680" w:rsidRPr="00E465D0">
        <w:t>Of course, being the only adult in the home, it is not surprising that single mothers make more maintenance stops than</w:t>
      </w:r>
      <w:r w:rsidR="00B1014E" w:rsidRPr="00E465D0">
        <w:t xml:space="preserve"> </w:t>
      </w:r>
      <w:r w:rsidR="00533680" w:rsidRPr="00E465D0">
        <w:t>other adults.</w:t>
      </w:r>
    </w:p>
    <w:p w14:paraId="6BC5FF33" w14:textId="54084F70" w:rsidR="00533680" w:rsidRPr="00E465D0" w:rsidRDefault="001136A2" w:rsidP="00E84B6A">
      <w:pPr>
        <w:spacing w:after="0"/>
      </w:pPr>
      <w:r w:rsidRPr="00E465D0">
        <w:t xml:space="preserve"> </w:t>
      </w:r>
    </w:p>
    <w:p w14:paraId="16ADB4B0" w14:textId="77777777" w:rsidR="004628FC" w:rsidRPr="00E465D0" w:rsidRDefault="004628FC" w:rsidP="00E84B6A">
      <w:pPr>
        <w:pStyle w:val="Heading3"/>
      </w:pPr>
      <w:r w:rsidRPr="00E465D0">
        <w:t>Age</w:t>
      </w:r>
    </w:p>
    <w:p w14:paraId="00574E97" w14:textId="24B89361" w:rsidR="00E84B6A" w:rsidRDefault="004628FC" w:rsidP="00E84B6A">
      <w:pPr>
        <w:spacing w:after="0"/>
      </w:pPr>
      <w:r w:rsidRPr="00E465D0">
        <w:t>Age significantly influences telework and nonwork travel behavior</w:t>
      </w:r>
      <w:r w:rsidR="00EA2E26" w:rsidRPr="00E465D0">
        <w:t xml:space="preserve">. Older individuals (55 years of age or older) have a lower telework propensity compared to their younger peers, a result that is one of the most consistent in the teleworking literature </w:t>
      </w:r>
      <w:r w:rsidRPr="00E465D0">
        <w:t>(see, for example, Raisiene et al., 2021; Nguyen, 2021; and Asmussen et al., 2024</w:t>
      </w:r>
      <w:r w:rsidR="00AB236A">
        <w:t>a</w:t>
      </w:r>
      <w:r w:rsidR="00EA2E26" w:rsidRPr="00E465D0">
        <w:t xml:space="preserve">). </w:t>
      </w:r>
      <w:r w:rsidR="000D7D04" w:rsidRPr="00E465D0">
        <w:t xml:space="preserve">Insights from the human development literature suggest that older individuals tend to resist change, such as the shifts in workplace location imposed by COVID, because any kind of change in older individuals tends to lead to a sense of </w:t>
      </w:r>
      <w:r w:rsidR="000D7D04" w:rsidRPr="00E465D0">
        <w:lastRenderedPageBreak/>
        <w:t xml:space="preserve">loss of control (and associated heightened feelings of angst and stress; </w:t>
      </w:r>
      <w:r w:rsidRPr="00E465D0">
        <w:t>Duque et al., 2019).</w:t>
      </w:r>
      <w:r w:rsidR="00EA2E26" w:rsidRPr="00E465D0">
        <w:t xml:space="preserve"> Older adults also typically have more compact social networks</w:t>
      </w:r>
      <w:r w:rsidR="00C25A8B" w:rsidRPr="00E465D0">
        <w:t>,</w:t>
      </w:r>
      <w:r w:rsidR="00EA2E26" w:rsidRPr="00E465D0">
        <w:t xml:space="preserve"> </w:t>
      </w:r>
      <w:r w:rsidR="00C25A8B" w:rsidRPr="00E465D0">
        <w:t>with the workplace being an important “social family” location (</w:t>
      </w:r>
      <w:r w:rsidR="00BB70D6" w:rsidRPr="00E465D0">
        <w:t>Bruine de Bruin</w:t>
      </w:r>
      <w:r w:rsidR="00BB70D6" w:rsidRPr="00E465D0" w:rsidDel="00BB70D6">
        <w:t xml:space="preserve"> </w:t>
      </w:r>
      <w:r w:rsidR="00BB70D6" w:rsidRPr="00E465D0">
        <w:t>et al., 2020</w:t>
      </w:r>
      <w:r w:rsidR="00097845" w:rsidRPr="00E465D0">
        <w:t xml:space="preserve">; </w:t>
      </w:r>
      <w:r w:rsidR="00C25A8B" w:rsidRPr="00E465D0">
        <w:t xml:space="preserve">Tahlyan et al., 2022). </w:t>
      </w:r>
      <w:r w:rsidR="00097845" w:rsidRPr="00E465D0">
        <w:t>Dif</w:t>
      </w:r>
      <w:r w:rsidR="00B97F28" w:rsidRPr="00E465D0">
        <w:t>f</w:t>
      </w:r>
      <w:r w:rsidR="00097845" w:rsidRPr="00E465D0">
        <w:t>erently</w:t>
      </w:r>
      <w:r w:rsidR="00C25A8B" w:rsidRPr="00E465D0">
        <w:t>, youn</w:t>
      </w:r>
      <w:r w:rsidR="00097845" w:rsidRPr="00E465D0">
        <w:t xml:space="preserve">ger </w:t>
      </w:r>
      <w:r w:rsidR="00C25A8B" w:rsidRPr="00E465D0">
        <w:t xml:space="preserve">individuals are drawn by the flexibility offered by telework, </w:t>
      </w:r>
      <w:r w:rsidR="00097845" w:rsidRPr="00E465D0">
        <w:t xml:space="preserve">at least in part because of the comfort in using virtual technology tools and platforms (Mouratidis, 2018; Stickel, 2020; Kersting et al., 2021). Besides, younger individuals tend to have </w:t>
      </w:r>
      <w:r w:rsidR="00C25A8B" w:rsidRPr="00E465D0">
        <w:t xml:space="preserve">more expansive “external-to-work” socialization networks (see </w:t>
      </w:r>
      <w:r w:rsidRPr="00E465D0">
        <w:t>Asdecker (2022), Raisiene et al. (2021), Nguyen (2021</w:t>
      </w:r>
      <w:r w:rsidR="000D7D04" w:rsidRPr="00E465D0">
        <w:t xml:space="preserve">)) that adds to the appeal of teleworking because of the release of commute time that can be redirected for leisure. </w:t>
      </w:r>
      <w:r w:rsidR="00097845" w:rsidRPr="00E465D0">
        <w:t>This is evidenced in the increasing leisure stop-making among those 54 years of age or younger</w:t>
      </w:r>
      <w:r w:rsidR="00B97F28" w:rsidRPr="00E465D0">
        <w:t xml:space="preserve"> (relative to those 55 years or older)</w:t>
      </w:r>
      <w:r w:rsidR="00097845" w:rsidRPr="00E465D0">
        <w:t xml:space="preserve">, with this increase </w:t>
      </w:r>
      <w:r w:rsidR="00B97F28" w:rsidRPr="00E465D0">
        <w:t xml:space="preserve">particularly pronounced in the youngest age group (less than 35 years of age). The reduced engagement in outside-of-home leisure activities among the eldest group of employees may also be attributed to heightened mobility challenges. </w:t>
      </w:r>
      <w:r w:rsidR="008074C5" w:rsidRPr="00E465D0">
        <w:t xml:space="preserve">Further, </w:t>
      </w:r>
      <w:r w:rsidR="008074C5" w:rsidRPr="00E465D0">
        <w:rPr>
          <w:rFonts w:eastAsiaTheme="majorEastAsia"/>
          <w:bCs/>
          <w:iCs/>
        </w:rPr>
        <w:t xml:space="preserve">time-use </w:t>
      </w:r>
      <w:r w:rsidR="004B4936" w:rsidRPr="00E465D0">
        <w:rPr>
          <w:rFonts w:eastAsiaTheme="majorEastAsia"/>
          <w:bCs/>
          <w:iCs/>
        </w:rPr>
        <w:t xml:space="preserve">research </w:t>
      </w:r>
      <w:r w:rsidR="008074C5" w:rsidRPr="00E465D0">
        <w:rPr>
          <w:rFonts w:eastAsiaTheme="majorEastAsia"/>
          <w:bCs/>
          <w:iCs/>
        </w:rPr>
        <w:t>(see for example, Paillard-Borg et al., 2009</w:t>
      </w:r>
      <w:r w:rsidR="004B4936" w:rsidRPr="00E465D0">
        <w:rPr>
          <w:rFonts w:eastAsiaTheme="majorEastAsia"/>
          <w:bCs/>
          <w:iCs/>
        </w:rPr>
        <w:t>; Feller and Baker, 2021</w:t>
      </w:r>
      <w:r w:rsidR="004B4936" w:rsidRPr="00E465D0">
        <w:t>; U.S. Bureau of Labor Statistics, 2023</w:t>
      </w:r>
      <w:r w:rsidR="008074C5" w:rsidRPr="00E465D0">
        <w:rPr>
          <w:rFonts w:eastAsiaTheme="majorEastAsia"/>
          <w:bCs/>
          <w:iCs/>
        </w:rPr>
        <w:t>) indicate</w:t>
      </w:r>
      <w:r w:rsidR="00B1014E" w:rsidRPr="00E465D0">
        <w:rPr>
          <w:rFonts w:eastAsiaTheme="majorEastAsia"/>
          <w:bCs/>
          <w:iCs/>
        </w:rPr>
        <w:t>s</w:t>
      </w:r>
      <w:r w:rsidR="008074C5" w:rsidRPr="00E465D0">
        <w:rPr>
          <w:rFonts w:eastAsiaTheme="majorEastAsia"/>
          <w:bCs/>
          <w:iCs/>
        </w:rPr>
        <w:t xml:space="preserve"> that reading and other activities at home that involve some level of mental stimulation dominate the time-use of older adults.</w:t>
      </w:r>
      <w:r w:rsidR="008074C5" w:rsidRPr="00E465D0">
        <w:rPr>
          <w:iCs/>
        </w:rPr>
        <w:t xml:space="preserve"> </w:t>
      </w:r>
      <w:r w:rsidR="00B97F28" w:rsidRPr="00E465D0">
        <w:t>Finally, within age effects</w:t>
      </w:r>
      <w:r w:rsidR="008074C5" w:rsidRPr="00E465D0">
        <w:t>,</w:t>
      </w:r>
      <w:r w:rsidR="00B97F28" w:rsidRPr="00E465D0">
        <w:t xml:space="preserve"> </w:t>
      </w:r>
      <w:r w:rsidRPr="00E465D0">
        <w:t>middle</w:t>
      </w:r>
      <w:r w:rsidR="00B97F28" w:rsidRPr="00E465D0">
        <w:t>-aged individuals</w:t>
      </w:r>
      <w:r w:rsidRPr="00E465D0">
        <w:t xml:space="preserve"> (between 35 and 54 years old) tend to undertake more maintenance </w:t>
      </w:r>
      <w:r w:rsidR="000D7D04" w:rsidRPr="00E465D0">
        <w:t xml:space="preserve">stops </w:t>
      </w:r>
      <w:r w:rsidRPr="00E465D0">
        <w:t xml:space="preserve">than both their younger and older counterparts, as </w:t>
      </w:r>
      <w:r w:rsidR="007D33FF" w:rsidRPr="00E465D0">
        <w:t xml:space="preserve">also observed </w:t>
      </w:r>
      <w:r w:rsidRPr="00E465D0">
        <w:t>by Astroza et al. (2018) and Shah et al. (2024)</w:t>
      </w:r>
      <w:r w:rsidR="007D33FF" w:rsidRPr="00E465D0">
        <w:t>, presumably because of a confluence of multiple life-cycle</w:t>
      </w:r>
      <w:r w:rsidR="009017CB" w:rsidRPr="00E465D0">
        <w:t>-related</w:t>
      </w:r>
      <w:r w:rsidR="007D33FF" w:rsidRPr="00E465D0">
        <w:t xml:space="preserve"> biological and </w:t>
      </w:r>
      <w:r w:rsidR="009017CB" w:rsidRPr="00E465D0">
        <w:t xml:space="preserve">other </w:t>
      </w:r>
      <w:r w:rsidR="007D33FF" w:rsidRPr="00E465D0">
        <w:t>consumption needs</w:t>
      </w:r>
      <w:r w:rsidR="009017CB" w:rsidRPr="00E465D0">
        <w:t>.</w:t>
      </w:r>
    </w:p>
    <w:p w14:paraId="22E51606" w14:textId="6868321C" w:rsidR="008074C5" w:rsidRPr="00E465D0" w:rsidRDefault="004628FC" w:rsidP="00E84B6A">
      <w:pPr>
        <w:spacing w:after="0"/>
      </w:pPr>
      <w:r w:rsidRPr="00E465D0">
        <w:t xml:space="preserve"> </w:t>
      </w:r>
    </w:p>
    <w:p w14:paraId="088C4C74" w14:textId="1C158279" w:rsidR="004628FC" w:rsidRPr="00E465D0" w:rsidRDefault="004628FC" w:rsidP="00E84B6A">
      <w:pPr>
        <w:pStyle w:val="Heading3"/>
      </w:pPr>
      <w:r w:rsidRPr="00E465D0">
        <w:t>Race</w:t>
      </w:r>
      <w:r w:rsidR="009017CB" w:rsidRPr="00E465D0">
        <w:t xml:space="preserve"> and Education</w:t>
      </w:r>
    </w:p>
    <w:p w14:paraId="1533C2AD" w14:textId="3FC04077" w:rsidR="009017CB" w:rsidRPr="00E465D0" w:rsidRDefault="009017CB" w:rsidP="00E84B6A">
      <w:pPr>
        <w:pStyle w:val="Heading1"/>
        <w:numPr>
          <w:ilvl w:val="0"/>
          <w:numId w:val="0"/>
        </w:numPr>
        <w:spacing w:before="0"/>
      </w:pPr>
      <w:r w:rsidRPr="00E465D0">
        <w:rPr>
          <w:b w:val="0"/>
          <w:bCs w:val="0"/>
        </w:rPr>
        <w:t>Our findings do not show any tangible effects of race on teleworking propensity or maintenance stop-making. However</w:t>
      </w:r>
      <w:r w:rsidRPr="00E465D0">
        <w:t xml:space="preserve">, </w:t>
      </w:r>
      <w:r w:rsidR="00360D25" w:rsidRPr="006F07A3">
        <w:rPr>
          <w:b w:val="0"/>
          <w:bCs w:val="0"/>
        </w:rPr>
        <w:t>compared to other racial groups,</w:t>
      </w:r>
      <w:r w:rsidR="00360D25">
        <w:t xml:space="preserve"> </w:t>
      </w:r>
      <w:r w:rsidR="004628FC" w:rsidRPr="00E465D0">
        <w:rPr>
          <w:b w:val="0"/>
          <w:bCs w:val="0"/>
        </w:rPr>
        <w:t xml:space="preserve">those who identify as </w:t>
      </w:r>
      <w:r w:rsidR="00FE0D98">
        <w:rPr>
          <w:b w:val="0"/>
          <w:bCs w:val="0"/>
        </w:rPr>
        <w:t>B</w:t>
      </w:r>
      <w:r w:rsidR="004628FC" w:rsidRPr="00E465D0">
        <w:rPr>
          <w:b w:val="0"/>
          <w:bCs w:val="0"/>
        </w:rPr>
        <w:t xml:space="preserve">lack engage </w:t>
      </w:r>
      <w:r w:rsidR="00FE0D98">
        <w:rPr>
          <w:b w:val="0"/>
          <w:bCs w:val="0"/>
        </w:rPr>
        <w:t xml:space="preserve">less </w:t>
      </w:r>
      <w:r w:rsidR="004628FC" w:rsidRPr="00E465D0">
        <w:rPr>
          <w:b w:val="0"/>
          <w:bCs w:val="0"/>
        </w:rPr>
        <w:t xml:space="preserve">in leisure </w:t>
      </w:r>
      <w:r w:rsidR="000D7D04" w:rsidRPr="00E465D0">
        <w:rPr>
          <w:b w:val="0"/>
          <w:bCs w:val="0"/>
        </w:rPr>
        <w:t xml:space="preserve">activity stops </w:t>
      </w:r>
      <w:r w:rsidR="004628FC" w:rsidRPr="00E465D0">
        <w:rPr>
          <w:b w:val="0"/>
          <w:bCs w:val="0"/>
        </w:rPr>
        <w:t>outside their homes</w:t>
      </w:r>
      <w:r w:rsidRPr="00E465D0">
        <w:rPr>
          <w:b w:val="0"/>
          <w:bCs w:val="0"/>
        </w:rPr>
        <w:t xml:space="preserve">, as also observed in </w:t>
      </w:r>
      <w:r w:rsidR="004628FC" w:rsidRPr="00E465D0">
        <w:rPr>
          <w:b w:val="0"/>
          <w:bCs w:val="0"/>
        </w:rPr>
        <w:t xml:space="preserve">leisure activity participation </w:t>
      </w:r>
      <w:r w:rsidRPr="00E465D0">
        <w:rPr>
          <w:b w:val="0"/>
          <w:bCs w:val="0"/>
        </w:rPr>
        <w:t xml:space="preserve">studies </w:t>
      </w:r>
      <w:r w:rsidR="004628FC" w:rsidRPr="00E465D0">
        <w:rPr>
          <w:b w:val="0"/>
          <w:bCs w:val="0"/>
        </w:rPr>
        <w:t>(see, for example, Misra and Bhat, 2000; Mallett and McGuckin, 2000; and Wang and Akar, 202</w:t>
      </w:r>
      <w:r w:rsidR="00FB2888" w:rsidRPr="00E465D0">
        <w:rPr>
          <w:b w:val="0"/>
          <w:bCs w:val="0"/>
        </w:rPr>
        <w:t>3</w:t>
      </w:r>
      <w:r w:rsidR="004628FC" w:rsidRPr="00E465D0">
        <w:rPr>
          <w:b w:val="0"/>
          <w:bCs w:val="0"/>
        </w:rPr>
        <w:t xml:space="preserve">). </w:t>
      </w:r>
      <w:r w:rsidR="00671916" w:rsidRPr="00E465D0">
        <w:rPr>
          <w:b w:val="0"/>
          <w:bCs w:val="0"/>
        </w:rPr>
        <w:t xml:space="preserve">This </w:t>
      </w:r>
      <w:r w:rsidR="00FE0D98">
        <w:rPr>
          <w:b w:val="0"/>
          <w:bCs w:val="0"/>
        </w:rPr>
        <w:t xml:space="preserve">lower intensity of out-of-home leisure may be related to a </w:t>
      </w:r>
      <w:r w:rsidR="00671916" w:rsidRPr="00E465D0">
        <w:rPr>
          <w:b w:val="0"/>
          <w:bCs w:val="0"/>
        </w:rPr>
        <w:t>stronger emphasis on in-home leisure activities among black familie</w:t>
      </w:r>
      <w:r w:rsidR="00FE0D98">
        <w:rPr>
          <w:b w:val="0"/>
          <w:bCs w:val="0"/>
        </w:rPr>
        <w:t xml:space="preserve">s, </w:t>
      </w:r>
      <w:r w:rsidR="00671916" w:rsidRPr="00E465D0">
        <w:rPr>
          <w:b w:val="0"/>
          <w:bCs w:val="0"/>
        </w:rPr>
        <w:t>stem</w:t>
      </w:r>
      <w:r w:rsidR="00FE0D98">
        <w:rPr>
          <w:b w:val="0"/>
          <w:bCs w:val="0"/>
        </w:rPr>
        <w:t>ming</w:t>
      </w:r>
      <w:r w:rsidR="00671916" w:rsidRPr="00E465D0">
        <w:rPr>
          <w:b w:val="0"/>
          <w:bCs w:val="0"/>
        </w:rPr>
        <w:t xml:space="preserve"> from a deeply rooted sense of community and support within extended family networks</w:t>
      </w:r>
      <w:r w:rsidR="00FE0D98">
        <w:rPr>
          <w:b w:val="0"/>
          <w:bCs w:val="0"/>
        </w:rPr>
        <w:t xml:space="preserve"> that </w:t>
      </w:r>
      <w:r w:rsidR="00671916" w:rsidRPr="00E465D0">
        <w:rPr>
          <w:b w:val="0"/>
          <w:bCs w:val="0"/>
        </w:rPr>
        <w:t xml:space="preserve">often play a pivotal role in their social and cultural lives (Reed et al., 2023). </w:t>
      </w:r>
    </w:p>
    <w:p w14:paraId="7562A6C1" w14:textId="306EB858" w:rsidR="004628FC" w:rsidRDefault="009017CB" w:rsidP="00E84B6A">
      <w:pPr>
        <w:spacing w:after="0"/>
        <w:ind w:firstLine="720"/>
      </w:pPr>
      <w:r w:rsidRPr="00E465D0">
        <w:t>E</w:t>
      </w:r>
      <w:r w:rsidR="004628FC" w:rsidRPr="00E465D0">
        <w:t>mployees with a</w:t>
      </w:r>
      <w:r w:rsidR="00FE0D98">
        <w:t xml:space="preserve"> graduate degree </w:t>
      </w:r>
      <w:r w:rsidRPr="00E465D0">
        <w:t xml:space="preserve">show an increased telework tendency, which may be tied to the increased employment in knowledge/information network-based occupations that are more conducive to teleworking. This may also be a consequence of </w:t>
      </w:r>
      <w:r w:rsidR="0028765A" w:rsidRPr="00E465D0">
        <w:t>more “power” in telework arrangement negotiations (see</w:t>
      </w:r>
      <w:r w:rsidR="004628FC" w:rsidRPr="00E465D0">
        <w:t xml:space="preserve"> López-Igual and Rodríguez-Modroño, 202</w:t>
      </w:r>
      <w:r w:rsidR="00FB2888" w:rsidRPr="00E465D0">
        <w:t>1</w:t>
      </w:r>
      <w:r w:rsidR="0028765A" w:rsidRPr="00E465D0">
        <w:t xml:space="preserve">, and </w:t>
      </w:r>
      <w:r w:rsidR="004628FC" w:rsidRPr="00E465D0">
        <w:t>Gaduena et al., 2022</w:t>
      </w:r>
      <w:r w:rsidR="0028765A" w:rsidRPr="00E465D0">
        <w:t xml:space="preserve"> for a similar education-based effect </w:t>
      </w:r>
      <w:r w:rsidR="00BB4696" w:rsidRPr="00E465D0">
        <w:t xml:space="preserve">on </w:t>
      </w:r>
      <w:r w:rsidR="0028765A" w:rsidRPr="00E465D0">
        <w:t>telework frequency</w:t>
      </w:r>
      <w:r w:rsidR="004628FC" w:rsidRPr="00E465D0">
        <w:t>). Levels of formal education had no effect on maintenance or leisure travel</w:t>
      </w:r>
      <w:r w:rsidR="000D7D04" w:rsidRPr="00E465D0">
        <w:t xml:space="preserve"> in our empirical analysis.</w:t>
      </w:r>
    </w:p>
    <w:p w14:paraId="22A2D85F" w14:textId="77777777" w:rsidR="00E84B6A" w:rsidRDefault="00E84B6A" w:rsidP="00E84B6A">
      <w:pPr>
        <w:spacing w:after="0"/>
        <w:ind w:firstLine="720"/>
      </w:pPr>
    </w:p>
    <w:p w14:paraId="64A439B7" w14:textId="62C60967" w:rsidR="004628FC" w:rsidRPr="00E465D0" w:rsidRDefault="0028765A" w:rsidP="00E84B6A">
      <w:pPr>
        <w:pStyle w:val="Heading3"/>
      </w:pPr>
      <w:r w:rsidRPr="00E465D0">
        <w:t xml:space="preserve">Household </w:t>
      </w:r>
      <w:r w:rsidR="004628FC" w:rsidRPr="00E465D0">
        <w:t xml:space="preserve">Income Level </w:t>
      </w:r>
      <w:r w:rsidRPr="00E465D0">
        <w:t>and Vehicle Ownership</w:t>
      </w:r>
    </w:p>
    <w:p w14:paraId="1BE66AF9" w14:textId="2A0B5B60" w:rsidR="00E67290" w:rsidRPr="00E465D0" w:rsidRDefault="0028765A" w:rsidP="00E84B6A">
      <w:pPr>
        <w:tabs>
          <w:tab w:val="left" w:pos="0"/>
        </w:tabs>
        <w:spacing w:after="0"/>
        <w:rPr>
          <w:iCs/>
        </w:rPr>
      </w:pPr>
      <w:r w:rsidRPr="00E465D0">
        <w:t xml:space="preserve">The household income effects in Table </w:t>
      </w:r>
      <w:r w:rsidR="0039755C" w:rsidRPr="00E465D0">
        <w:t xml:space="preserve">4 </w:t>
      </w:r>
      <w:r w:rsidRPr="00E465D0">
        <w:t>reveal a clear trend of higher telework propensity with household income</w:t>
      </w:r>
      <w:r w:rsidR="000D7D04" w:rsidRPr="00E465D0">
        <w:t xml:space="preserve"> increases, consistent with </w:t>
      </w:r>
      <w:r w:rsidR="00FE0D98">
        <w:t>m</w:t>
      </w:r>
      <w:r w:rsidRPr="00E465D0">
        <w:t>any post-COVID studies (see, for example, Yasenov, 2020; Asmussen et al., 2023; Varvello et al., 2023). This is an expected result, because lower income o</w:t>
      </w:r>
      <w:r w:rsidR="004628FC" w:rsidRPr="00E465D0">
        <w:t xml:space="preserve">ccupations </w:t>
      </w:r>
      <w:r w:rsidRPr="00E465D0">
        <w:t xml:space="preserve">typically </w:t>
      </w:r>
      <w:r w:rsidR="004628FC" w:rsidRPr="00E465D0">
        <w:t xml:space="preserve">involve customer-facing, in-person service roles </w:t>
      </w:r>
      <w:r w:rsidRPr="00E465D0">
        <w:t xml:space="preserve">in sectors </w:t>
      </w:r>
      <w:r w:rsidR="000A30E7" w:rsidRPr="00E465D0">
        <w:t xml:space="preserve">such </w:t>
      </w:r>
      <w:r w:rsidRPr="00E465D0">
        <w:t xml:space="preserve">as retailing and construction </w:t>
      </w:r>
      <w:r w:rsidR="004628FC" w:rsidRPr="00E465D0">
        <w:t xml:space="preserve">(Baker, 2020). </w:t>
      </w:r>
      <w:r w:rsidRPr="00E465D0">
        <w:t xml:space="preserve">Also, </w:t>
      </w:r>
      <w:r w:rsidR="004628FC" w:rsidRPr="00E465D0">
        <w:t xml:space="preserve">those in lower income brackets may prioritize physical presence </w:t>
      </w:r>
      <w:r w:rsidRPr="00E465D0">
        <w:t>at</w:t>
      </w:r>
      <w:r w:rsidR="004628FC" w:rsidRPr="00E465D0">
        <w:t xml:space="preserve"> the workplace to enhance visibility and career advancement through face-to-face interactions with upper management (Jaff and Hamsa, 2021).</w:t>
      </w:r>
      <w:r w:rsidRPr="00E465D0">
        <w:t xml:space="preserve"> With regard to nonwork travel, </w:t>
      </w:r>
      <w:r w:rsidR="00E4712B" w:rsidRPr="00E465D0">
        <w:t>we did not find substantial variations across income groups until a household income of $200,00</w:t>
      </w:r>
      <w:r w:rsidR="000D7D04" w:rsidRPr="00E465D0">
        <w:t>0</w:t>
      </w:r>
      <w:r w:rsidR="00E67290" w:rsidRPr="00E465D0">
        <w:t xml:space="preserve">. </w:t>
      </w:r>
      <w:r w:rsidR="00E4712B" w:rsidRPr="00E465D0">
        <w:t>Table</w:t>
      </w:r>
      <w:r w:rsidR="0039755C" w:rsidRPr="00E465D0">
        <w:t xml:space="preserve"> 4</w:t>
      </w:r>
      <w:r w:rsidR="00E4712B" w:rsidRPr="00E465D0">
        <w:t xml:space="preserve"> indicates that those in the highest income group of $200,000 and more make, </w:t>
      </w:r>
      <w:r w:rsidR="00E4712B" w:rsidRPr="00E465D0">
        <w:lastRenderedPageBreak/>
        <w:t xml:space="preserve">in general, fewer maintenance stops relative to those in the lower income groups of $200,000. This </w:t>
      </w:r>
      <w:r w:rsidR="00E67290" w:rsidRPr="00E465D0">
        <w:t xml:space="preserve">finding </w:t>
      </w:r>
      <w:r w:rsidR="00E4712B" w:rsidRPr="00E465D0">
        <w:t xml:space="preserve">may be traced to the </w:t>
      </w:r>
      <w:r w:rsidR="00E67290" w:rsidRPr="00E465D0">
        <w:t xml:space="preserve">time and budget flexibility associated with high incomes, including the </w:t>
      </w:r>
      <w:r w:rsidR="00E4712B" w:rsidRPr="00E465D0">
        <w:t>ability to subcontract out maintenance activities (</w:t>
      </w:r>
      <w:r w:rsidR="00E67290" w:rsidRPr="00E465D0">
        <w:t xml:space="preserve">such as </w:t>
      </w:r>
      <w:r w:rsidR="00D94825" w:rsidRPr="00E465D0">
        <w:t xml:space="preserve">hired help for </w:t>
      </w:r>
      <w:r w:rsidR="00E4712B" w:rsidRPr="00E465D0">
        <w:t>housekeeping chores</w:t>
      </w:r>
      <w:r w:rsidR="00D94825" w:rsidRPr="00E465D0">
        <w:t xml:space="preserve"> and </w:t>
      </w:r>
      <w:r w:rsidR="00E4712B" w:rsidRPr="00E465D0">
        <w:t>childcare</w:t>
      </w:r>
      <w:r w:rsidR="00D94825" w:rsidRPr="00E465D0">
        <w:t>, and use of delivery services</w:t>
      </w:r>
      <w:r w:rsidR="00E4712B" w:rsidRPr="00E465D0">
        <w:t>)</w:t>
      </w:r>
      <w:r w:rsidR="00E67290" w:rsidRPr="00E465D0">
        <w:t xml:space="preserve"> </w:t>
      </w:r>
      <w:r w:rsidR="00E67290" w:rsidRPr="00E465D0">
        <w:rPr>
          <w:iCs/>
        </w:rPr>
        <w:t>(see Highfill and Franks, 2019</w:t>
      </w:r>
      <w:r w:rsidR="00D94825" w:rsidRPr="00E465D0">
        <w:rPr>
          <w:iCs/>
        </w:rPr>
        <w:t xml:space="preserve">, </w:t>
      </w:r>
      <w:r w:rsidR="00E67290" w:rsidRPr="00E465D0">
        <w:rPr>
          <w:iCs/>
        </w:rPr>
        <w:t>Parady et al., 2019</w:t>
      </w:r>
      <w:r w:rsidR="00D94825" w:rsidRPr="00E465D0">
        <w:rPr>
          <w:iCs/>
        </w:rPr>
        <w:t xml:space="preserve">, and </w:t>
      </w:r>
      <w:r w:rsidR="00D94825" w:rsidRPr="00E465D0">
        <w:t>Diaz-Gutierrez et al., 2023</w:t>
      </w:r>
      <w:r w:rsidR="00E67290" w:rsidRPr="00E465D0">
        <w:rPr>
          <w:iCs/>
        </w:rPr>
        <w:t>).</w:t>
      </w:r>
      <w:r w:rsidR="001136A2" w:rsidRPr="00E465D0">
        <w:rPr>
          <w:iCs/>
        </w:rPr>
        <w:t xml:space="preserve"> Interestingly, income had no impact on leisure </w:t>
      </w:r>
      <w:r w:rsidR="000D7D04" w:rsidRPr="00E465D0">
        <w:rPr>
          <w:iCs/>
        </w:rPr>
        <w:t>sto</w:t>
      </w:r>
      <w:r w:rsidR="001136A2" w:rsidRPr="00E465D0">
        <w:rPr>
          <w:iCs/>
        </w:rPr>
        <w:t>p generation</w:t>
      </w:r>
      <w:r w:rsidR="00FE0D98">
        <w:rPr>
          <w:iCs/>
        </w:rPr>
        <w:t>, in part because of the high correlation between income and vehicle ownership (discussed next)</w:t>
      </w:r>
      <w:r w:rsidR="001136A2" w:rsidRPr="00E465D0">
        <w:rPr>
          <w:iCs/>
        </w:rPr>
        <w:t>.</w:t>
      </w:r>
    </w:p>
    <w:p w14:paraId="085E745A" w14:textId="77777777" w:rsidR="00E84B6A" w:rsidRDefault="000A30E7" w:rsidP="00E84B6A">
      <w:pPr>
        <w:spacing w:after="0"/>
        <w:ind w:firstLine="720"/>
      </w:pPr>
      <w:r w:rsidRPr="00E465D0">
        <w:t xml:space="preserve">Vehicle ownership plays a strong role in influencing telework propensity and nonwork stop-making. In particular, as may be observed from Table </w:t>
      </w:r>
      <w:r w:rsidR="0039755C" w:rsidRPr="00E465D0">
        <w:t xml:space="preserve">4, </w:t>
      </w:r>
      <w:r w:rsidR="00A6307A" w:rsidRPr="00E465D0">
        <w:t xml:space="preserve">individuals from households with fewer than three vehicles are more likely to telework than those from households with three or more vehicles, while those from households with zero vehicles are much less likely to pursue maintenance of leisure stops. These findings align with earlier telework studies (see, for example, </w:t>
      </w:r>
      <w:r w:rsidR="004628FC" w:rsidRPr="00E465D0">
        <w:t>Balbontin et al., 202</w:t>
      </w:r>
      <w:r w:rsidR="00DD5993">
        <w:t>1</w:t>
      </w:r>
      <w:r w:rsidR="004628FC" w:rsidRPr="00E465D0">
        <w:t xml:space="preserve">; </w:t>
      </w:r>
      <w:r w:rsidR="000734A8" w:rsidRPr="00E465D0">
        <w:t xml:space="preserve">de Abreu e </w:t>
      </w:r>
      <w:r w:rsidR="004628FC" w:rsidRPr="00E465D0">
        <w:t>Silva and Melo, 2018; Shah and Carrel, 2024)</w:t>
      </w:r>
      <w:r w:rsidR="00A6307A" w:rsidRPr="00E465D0">
        <w:t xml:space="preserve"> as well </w:t>
      </w:r>
      <w:r w:rsidR="00FE0D98">
        <w:t xml:space="preserve">as </w:t>
      </w:r>
      <w:r w:rsidR="00A6307A" w:rsidRPr="00E465D0">
        <w:t xml:space="preserve">earlier nonwork activity participation studies (Astroza et al., 2018; Guadamuz-Flores, 2020). </w:t>
      </w:r>
      <w:r w:rsidR="00D03E98" w:rsidRPr="00E465D0">
        <w:t>Basically, these results reflect the reduced ability to reach out</w:t>
      </w:r>
      <w:r w:rsidR="001B4481" w:rsidRPr="00E465D0">
        <w:t>side</w:t>
      </w:r>
      <w:r w:rsidR="00D03E98" w:rsidRPr="00E465D0">
        <w:t>-of-home activities when individuals have access to fewer vehicles in the household.</w:t>
      </w:r>
    </w:p>
    <w:p w14:paraId="312B8040" w14:textId="5C53728D" w:rsidR="00A6307A" w:rsidRPr="00E465D0" w:rsidRDefault="00D03E98" w:rsidP="00E84B6A">
      <w:pPr>
        <w:spacing w:after="0"/>
        <w:ind w:firstLine="720"/>
      </w:pPr>
      <w:r w:rsidRPr="00E465D0">
        <w:t xml:space="preserve"> </w:t>
      </w:r>
    </w:p>
    <w:p w14:paraId="3713CBD4" w14:textId="0EAD281A" w:rsidR="004628FC" w:rsidRPr="00E465D0" w:rsidRDefault="004628FC" w:rsidP="00E84B6A">
      <w:pPr>
        <w:pStyle w:val="Heading3"/>
      </w:pPr>
      <w:r w:rsidRPr="00E465D0">
        <w:t>Residential Characteristic</w:t>
      </w:r>
    </w:p>
    <w:p w14:paraId="67D947E7" w14:textId="2AA24E1A" w:rsidR="004628FC" w:rsidRDefault="00A109D6" w:rsidP="00E84B6A">
      <w:pPr>
        <w:spacing w:after="0"/>
      </w:pPr>
      <w:r w:rsidRPr="00E465D0">
        <w:t xml:space="preserve">Surprisingly, our analysis did not reveal any statistical difference in telework frequency based on </w:t>
      </w:r>
      <w:r w:rsidR="00C11034" w:rsidRPr="00E465D0">
        <w:t xml:space="preserve">the </w:t>
      </w:r>
      <w:r w:rsidRPr="00E465D0">
        <w:t xml:space="preserve">residential </w:t>
      </w:r>
      <w:r w:rsidR="00C11034" w:rsidRPr="00E465D0">
        <w:t>area types of urban, suburban, or rural</w:t>
      </w:r>
      <w:r w:rsidRPr="00E465D0">
        <w:t xml:space="preserve">. Along the same lines, </w:t>
      </w:r>
      <w:r w:rsidR="00663BDE" w:rsidRPr="00E465D0">
        <w:t xml:space="preserve">we did not find statistically significant variations across residential area types in the number of maintenance and leisure stops. But this may be partly explained by our consideration of </w:t>
      </w:r>
      <w:r w:rsidR="004628FC" w:rsidRPr="00E465D0">
        <w:t xml:space="preserve">various </w:t>
      </w:r>
      <w:r w:rsidR="00663BDE" w:rsidRPr="00E465D0">
        <w:t xml:space="preserve">zip-code based </w:t>
      </w:r>
      <w:r w:rsidR="004628FC" w:rsidRPr="00E465D0">
        <w:t>built environmental variables</w:t>
      </w:r>
      <w:r w:rsidR="00663BDE" w:rsidRPr="00E465D0">
        <w:t>,</w:t>
      </w:r>
      <w:r w:rsidR="004628FC" w:rsidRPr="00E465D0">
        <w:t xml:space="preserve"> includ</w:t>
      </w:r>
      <w:r w:rsidR="00663BDE" w:rsidRPr="00E465D0">
        <w:t>ing</w:t>
      </w:r>
      <w:r w:rsidR="004628FC" w:rsidRPr="00E465D0">
        <w:t xml:space="preserve"> proximity to grocery stores, clothing stores, home repair stores, as well as restaurants, bars, parks, and museums. </w:t>
      </w:r>
      <w:r w:rsidR="00663BDE" w:rsidRPr="00E465D0">
        <w:t xml:space="preserve">But, even here, the sole variable that turned up to be of any consequence was the absence of </w:t>
      </w:r>
      <w:r w:rsidR="004628FC" w:rsidRPr="00E465D0">
        <w:t>clothing</w:t>
      </w:r>
      <w:r w:rsidR="00663BDE" w:rsidRPr="00E465D0">
        <w:t>/</w:t>
      </w:r>
      <w:r w:rsidR="004628FC" w:rsidRPr="00E465D0">
        <w:t xml:space="preserve">retail stores within </w:t>
      </w:r>
      <w:r w:rsidR="00663BDE" w:rsidRPr="00E465D0">
        <w:t xml:space="preserve">an individual’s </w:t>
      </w:r>
      <w:r w:rsidR="004628FC" w:rsidRPr="00E465D0">
        <w:t>residential zip code</w:t>
      </w:r>
      <w:r w:rsidR="006D6C30" w:rsidRPr="00E465D0">
        <w:t xml:space="preserve">, which reduced </w:t>
      </w:r>
      <w:r w:rsidRPr="00E465D0">
        <w:t xml:space="preserve">leisure </w:t>
      </w:r>
      <w:r w:rsidR="006D6C30" w:rsidRPr="00E465D0">
        <w:t>stop-making</w:t>
      </w:r>
      <w:r w:rsidR="004628FC" w:rsidRPr="00E465D0">
        <w:t>. When</w:t>
      </w:r>
      <w:r w:rsidR="006D6C30" w:rsidRPr="00E465D0">
        <w:t xml:space="preserve"> having </w:t>
      </w:r>
      <w:r w:rsidR="004628FC" w:rsidRPr="00E465D0">
        <w:t xml:space="preserve">to travel longer distances for errands at retail establishments, shoppers are likely to </w:t>
      </w:r>
      <w:r w:rsidR="006D6C30" w:rsidRPr="00E465D0">
        <w:t xml:space="preserve">schedule the number of their </w:t>
      </w:r>
      <w:r w:rsidRPr="00E465D0">
        <w:t xml:space="preserve">recreational-shopping </w:t>
      </w:r>
      <w:r w:rsidR="006D6C30" w:rsidRPr="00E465D0">
        <w:t xml:space="preserve">episodes </w:t>
      </w:r>
      <w:r w:rsidR="004628FC" w:rsidRPr="00E465D0">
        <w:t xml:space="preserve">more efficiently, consolidating </w:t>
      </w:r>
      <w:r w:rsidR="006D6C30" w:rsidRPr="00E465D0">
        <w:t xml:space="preserve">the purchase of </w:t>
      </w:r>
      <w:r w:rsidR="004628FC" w:rsidRPr="00E465D0">
        <w:t>multiple items into a single outing</w:t>
      </w:r>
      <w:r w:rsidR="006D6C30" w:rsidRPr="00E465D0">
        <w:t>.</w:t>
      </w:r>
    </w:p>
    <w:p w14:paraId="2F9B1822" w14:textId="77777777" w:rsidR="00E84B6A" w:rsidRPr="00E465D0" w:rsidRDefault="00E84B6A" w:rsidP="00E84B6A">
      <w:pPr>
        <w:spacing w:after="0"/>
      </w:pPr>
    </w:p>
    <w:p w14:paraId="730551B7" w14:textId="77777777" w:rsidR="004628FC" w:rsidRPr="00E465D0" w:rsidRDefault="004628FC" w:rsidP="00E84B6A">
      <w:pPr>
        <w:pStyle w:val="Heading3"/>
      </w:pPr>
      <w:r w:rsidRPr="00E465D0">
        <w:t>Endogenous Effects</w:t>
      </w:r>
    </w:p>
    <w:p w14:paraId="643B9332" w14:textId="4D87D2FC" w:rsidR="000D7D04" w:rsidRPr="00E465D0" w:rsidRDefault="000D7D04" w:rsidP="00E84B6A">
      <w:pPr>
        <w:spacing w:after="0"/>
      </w:pPr>
      <w:bookmarkStart w:id="8" w:name="_Hlk167431189"/>
      <w:r w:rsidRPr="00E465D0">
        <w:t xml:space="preserve">In our latent segmentation model framework, nonwork stops influence telework propensity within the NT or </w:t>
      </w:r>
      <w:r w:rsidR="005D4542">
        <w:t>“</w:t>
      </w:r>
      <w:r w:rsidRPr="00E465D0">
        <w:t>player</w:t>
      </w:r>
      <w:r w:rsidR="005D4542">
        <w:t>”</w:t>
      </w:r>
      <w:r w:rsidRPr="00E465D0">
        <w:t xml:space="preserve"> segment. To assess this impact, we examined weekly counts of leisure and maintenance travel using a variety of functional forms. These included a continuous form, different combinations of grouped nonwork frequency forms, and interactions with sociodemographic characteristics and built environment variables, including gender, household structure, presence of household vehicles, population density of residence, and residence proximity to retail store. Ultimately, only a single, non-interacted variable of nonwork travel frequency yielded the best data fit. This variable, pertaining to leisure stops, categorizes weekly occurrences into (i) fewer than four, and (ii) four or more. Specifically, the findings from Table 4 indicate that it is leisure stop-making rather than maintenance stop-making that influences telework intensity. Specifically, within the NT (</w:t>
      </w:r>
      <w:r w:rsidR="005D4542">
        <w:t>“</w:t>
      </w:r>
      <w:r w:rsidRPr="00E465D0">
        <w:t>player</w:t>
      </w:r>
      <w:r w:rsidR="005D4542">
        <w:t>”</w:t>
      </w:r>
      <w:r w:rsidRPr="00E465D0">
        <w:t xml:space="preserve">) segment, those making more than four leisure stops tend to have a higher telework propensity, which is intuitive because teleworking opens up the time and the freedom to engage in the desire to make leisure stops. Besides, employees who enjoy leisure may telework more often because it enables the ability to work from different locations, such as working from vacation spots or exploring new places while maintaining job responsibilities. While it is unclear why it is the threshold of four weekly leisure stops that matters, our analysis emphasizes the importance of distinguishing between maintenance and leisure stops (in their effects on telework </w:t>
      </w:r>
      <w:r w:rsidRPr="00E465D0">
        <w:lastRenderedPageBreak/>
        <w:t xml:space="preserve">frequency). This may be because of the relative ease of chaining maintenance stops rather than leisure stops during the commute, because leisure stops tend to be much longer in duration and more in social-recreational settings with others (Zhen, 2015; Xing et al., 2020; Gebhardt et al., 2021). </w:t>
      </w:r>
    </w:p>
    <w:p w14:paraId="6239E009" w14:textId="77777777" w:rsidR="00E84B6A" w:rsidRDefault="000D7D04" w:rsidP="00E84B6A">
      <w:pPr>
        <w:spacing w:after="0"/>
        <w:ind w:firstLine="720"/>
      </w:pPr>
      <w:r w:rsidRPr="00E465D0">
        <w:t xml:space="preserve">The second latent segment in our model corresponds to the TN (“worker”) segment. The causal pathway effect among individuals in this segment is from teleworking to nonwork stop-making.  In investigating such an effect, again we considered telework frequency in many functional forms. Following a series of specification trials, the final specification model was defined by a set of grouped categories, which include, (i) does not telework or does so less than weekly, (ii) teleworks once to three time a week, and (iii) teleworks at least four </w:t>
      </w:r>
      <w:r w:rsidR="00134836" w:rsidRPr="00E465D0">
        <w:t xml:space="preserve">times </w:t>
      </w:r>
      <w:r w:rsidRPr="00E465D0">
        <w:t xml:space="preserve">a week. The results in Table 4 indicate that individuals who engage in a weekly hybrid work place location arrangement; teleworking at least once a week but no more than three </w:t>
      </w:r>
      <w:r w:rsidR="00134836" w:rsidRPr="00E465D0">
        <w:t>days a week</w:t>
      </w:r>
      <w:r w:rsidRPr="00E465D0">
        <w:t>; are likely to make fewer maintenance stops compared to both low and high-frequency teleworkers. Those who rarely telework (commute frequently) may find it quite easy to make maintenance stops during their commutes, while those who telework frequently have less of a need to consolidate their maintenance stops because they have the luxury of time.</w:t>
      </w:r>
    </w:p>
    <w:p w14:paraId="5C8ADBA0" w14:textId="6BF99E46" w:rsidR="000D7D04" w:rsidRPr="00E465D0" w:rsidRDefault="000D7D04" w:rsidP="00E84B6A">
      <w:pPr>
        <w:spacing w:after="0"/>
        <w:ind w:firstLine="720"/>
      </w:pPr>
      <w:r w:rsidRPr="00E465D0">
        <w:t xml:space="preserve"> </w:t>
      </w:r>
    </w:p>
    <w:bookmarkEnd w:id="8"/>
    <w:p w14:paraId="39CEE4F7" w14:textId="7A49DF06" w:rsidR="009273A2" w:rsidRPr="00E465D0" w:rsidRDefault="009273A2" w:rsidP="00E84B6A">
      <w:pPr>
        <w:pStyle w:val="Heading3"/>
      </w:pPr>
      <w:r w:rsidRPr="00E465D0">
        <w:t>Thresholds</w:t>
      </w:r>
    </w:p>
    <w:p w14:paraId="74280530" w14:textId="615495CE" w:rsidR="000D7D04" w:rsidRDefault="000D7D04" w:rsidP="00E84B6A">
      <w:pPr>
        <w:spacing w:after="0"/>
      </w:pPr>
      <w:r w:rsidRPr="00E465D0">
        <w:t xml:space="preserve">The constant and the thresholds within the ordinal model component for telework, along with the gamma constant and threshold shifters in the count model for both dimensions of nonwork travel, </w:t>
      </w:r>
      <w:r w:rsidR="00B1014E" w:rsidRPr="00E465D0">
        <w:t>do not hold</w:t>
      </w:r>
      <w:r w:rsidRPr="00E465D0">
        <w:t xml:space="preserve"> any substantive behavioral interpretations. They simply provide the optimal data fit, accounting for the impacts of exogenous variables. While it might be tempting to infer telework and nonwork travel differences between the two latent segments based on the relative magnitudes of the constants across segments, especially considering that the effects of all exogenous variables are consistent across the two segments (as discussed earlier), and the variances of the error terms are identical, it is important to note that the composition of the two segments is inherently different. As a result, the ranges of exogenous variables in the two segments differ. Consequently, making conclusions based on a relative comparison of constant values across segments is not advisable.</w:t>
      </w:r>
    </w:p>
    <w:p w14:paraId="0503E631" w14:textId="77777777" w:rsidR="00E84B6A" w:rsidRPr="00E465D0" w:rsidRDefault="00E84B6A" w:rsidP="00E84B6A">
      <w:pPr>
        <w:spacing w:after="0"/>
      </w:pPr>
    </w:p>
    <w:p w14:paraId="715FC729" w14:textId="18E10749" w:rsidR="004628FC" w:rsidRPr="00E465D0" w:rsidRDefault="004628FC" w:rsidP="00E84B6A">
      <w:pPr>
        <w:pStyle w:val="Heading3"/>
      </w:pPr>
      <w:r w:rsidRPr="00E465D0">
        <w:t>Co</w:t>
      </w:r>
      <w:r w:rsidR="000D7D04" w:rsidRPr="00E465D0">
        <w:t>rrelation Matrix</w:t>
      </w:r>
    </w:p>
    <w:p w14:paraId="5C1A2A05" w14:textId="77777777" w:rsidR="00E84B6A" w:rsidRDefault="000D7D04" w:rsidP="00E84B6A">
      <w:pPr>
        <w:spacing w:after="0"/>
      </w:pPr>
      <w:bookmarkStart w:id="9" w:name="_Hlk172900999"/>
      <w:r w:rsidRPr="00E465D0">
        <w:t xml:space="preserve">The two final </w:t>
      </w:r>
      <w:r w:rsidR="005951B0" w:rsidRPr="00E465D0">
        <w:t xml:space="preserve">broad </w:t>
      </w:r>
      <w:r w:rsidRPr="00E465D0">
        <w:t>rows of Table 4 present the correlation matri</w:t>
      </w:r>
      <w:r w:rsidR="00616AC3">
        <w:t>x</w:t>
      </w:r>
      <w:r w:rsidRPr="00E465D0">
        <w:t xml:space="preserve"> </w:t>
      </w:r>
      <w:r w:rsidR="00616AC3">
        <w:t>among</w:t>
      </w:r>
      <w:r w:rsidRPr="00E465D0">
        <w:t xml:space="preserve"> the three dimensions of telework frequency, maintenance stops and leisure stops for each of the two segments. Across both segments, the sole significant correlation is a positive relationship between maintenance and leisure stops</w:t>
      </w:r>
      <w:r w:rsidR="005951B0" w:rsidRPr="00E465D0">
        <w:t xml:space="preserve"> for only the NT segment</w:t>
      </w:r>
      <w:r w:rsidRPr="00E465D0">
        <w:t xml:space="preserve">. </w:t>
      </w:r>
      <w:r w:rsidR="005951B0" w:rsidRPr="00E465D0">
        <w:t xml:space="preserve">Possibly explained by the direction of causality in the NT segment, </w:t>
      </w:r>
      <w:r w:rsidR="009D6027">
        <w:t>“</w:t>
      </w:r>
      <w:r w:rsidR="005951B0" w:rsidRPr="00E465D0">
        <w:t>players</w:t>
      </w:r>
      <w:r w:rsidR="009D6027">
        <w:t>”</w:t>
      </w:r>
      <w:r w:rsidR="005951B0" w:rsidRPr="00E465D0">
        <w:t xml:space="preserve"> have a stronger connection to maintenance </w:t>
      </w:r>
      <w:r w:rsidR="00616AC3">
        <w:t xml:space="preserve">and leisure </w:t>
      </w:r>
      <w:r w:rsidR="005951B0" w:rsidRPr="00E465D0">
        <w:t xml:space="preserve">activities compared to those in the </w:t>
      </w:r>
      <w:r w:rsidR="00F50032">
        <w:t>“</w:t>
      </w:r>
      <w:r w:rsidR="005951B0" w:rsidRPr="00E465D0">
        <w:t>worker</w:t>
      </w:r>
      <w:r w:rsidR="00F50032">
        <w:t>”</w:t>
      </w:r>
      <w:r w:rsidR="005951B0" w:rsidRPr="00E465D0">
        <w:t xml:space="preserve"> segment.</w:t>
      </w:r>
    </w:p>
    <w:p w14:paraId="5C164027" w14:textId="1DAEF5D8" w:rsidR="000D7D04" w:rsidRPr="00E465D0" w:rsidRDefault="005951B0" w:rsidP="00E84B6A">
      <w:pPr>
        <w:spacing w:after="0"/>
      </w:pPr>
      <w:r w:rsidRPr="00E465D0">
        <w:t xml:space="preserve"> </w:t>
      </w:r>
    </w:p>
    <w:bookmarkEnd w:id="9"/>
    <w:p w14:paraId="7A50F008" w14:textId="77777777" w:rsidR="004628FC" w:rsidRPr="00E465D0" w:rsidRDefault="004628FC" w:rsidP="00E84B6A">
      <w:pPr>
        <w:pStyle w:val="Heading2"/>
        <w:spacing w:before="0"/>
      </w:pPr>
      <w:r w:rsidRPr="00E465D0">
        <w:t>Characteristics of Latent Segments</w:t>
      </w:r>
    </w:p>
    <w:p w14:paraId="3122F16A" w14:textId="04CA85C1" w:rsidR="00B9123A" w:rsidRPr="00E465D0" w:rsidRDefault="00B9123A" w:rsidP="00E84B6A">
      <w:pPr>
        <w:spacing w:after="0"/>
      </w:pPr>
      <w:bookmarkStart w:id="10" w:name="_Hlk172901037"/>
      <w:r w:rsidRPr="00E465D0">
        <w:t xml:space="preserve">The results in Table 5 reveal that single parents are more </w:t>
      </w:r>
      <w:r w:rsidR="00026D24">
        <w:t xml:space="preserve">likely </w:t>
      </w:r>
      <w:r w:rsidRPr="00E465D0">
        <w:t>to belong to the TN (</w:t>
      </w:r>
      <w:r w:rsidR="005D4542">
        <w:t>“</w:t>
      </w:r>
      <w:r w:rsidRPr="00E465D0">
        <w:t>worker</w:t>
      </w:r>
      <w:r w:rsidR="005D4542">
        <w:t>”</w:t>
      </w:r>
      <w:r w:rsidRPr="00E465D0">
        <w:t xml:space="preserve">) segment compared to partnered parents or employees without children. Given the inherent time pressures of being solely responsible for raising their child, single parents often need to arrange their errands and recreational activities around their work schedules. </w:t>
      </w:r>
    </w:p>
    <w:p w14:paraId="2494447A" w14:textId="2CF2E98E" w:rsidR="00B9123A" w:rsidRPr="00E465D0" w:rsidRDefault="00B9123A" w:rsidP="00E84B6A">
      <w:pPr>
        <w:spacing w:after="0"/>
        <w:ind w:firstLine="720"/>
      </w:pPr>
      <w:r w:rsidRPr="00E465D0">
        <w:t xml:space="preserve">In terms of age, middle-aged employees (between 35 and 44 years old) are more likely to be in the NT (“player”) segment relative to their younger and older peers (who fall more within the TN or “worker” segment compared to the middle-aged employees). Younger adults (under 35 years) may find themselves at the early stages of their careers, where the allure of the </w:t>
      </w:r>
      <w:r w:rsidR="005D4542">
        <w:t>“</w:t>
      </w:r>
      <w:r w:rsidRPr="00E465D0">
        <w:t>new thing</w:t>
      </w:r>
      <w:r w:rsidR="005D4542">
        <w:t>”</w:t>
      </w:r>
      <w:r w:rsidRPr="00E465D0">
        <w:t xml:space="preserve"> </w:t>
      </w:r>
      <w:r w:rsidRPr="00E465D0">
        <w:lastRenderedPageBreak/>
        <w:t xml:space="preserve">is significant, shaping their socialization and errands around their work commitments. This age group is often in a life phase </w:t>
      </w:r>
      <w:r w:rsidR="00B1014E" w:rsidRPr="00E465D0">
        <w:t xml:space="preserve">with a </w:t>
      </w:r>
      <w:r w:rsidR="00164EA3" w:rsidRPr="00E465D0">
        <w:t xml:space="preserve">high priority </w:t>
      </w:r>
      <w:r w:rsidRPr="00E465D0">
        <w:t xml:space="preserve">on career growth and advancement. Conversely, older adults (45 and above) </w:t>
      </w:r>
      <w:r w:rsidR="00164EA3" w:rsidRPr="00E465D0">
        <w:t xml:space="preserve">generally </w:t>
      </w:r>
      <w:r w:rsidRPr="00E465D0">
        <w:t xml:space="preserve">have already established their careers, having navigated the pre-COVID era predominantly through in-person work. Their well-established routines, both within and outside of work, make them less likely to alter their nonwork habits in response to newfound post-COVID workplace flexibilities. Individuals in the middle age bracket </w:t>
      </w:r>
      <w:r w:rsidR="00026D24">
        <w:t xml:space="preserve">(35-44 years) </w:t>
      </w:r>
      <w:r w:rsidRPr="00E465D0">
        <w:t xml:space="preserve">likely possess established careers but may be </w:t>
      </w:r>
      <w:r w:rsidR="00164EA3" w:rsidRPr="00E465D0">
        <w:t xml:space="preserve">balancing family commitments with </w:t>
      </w:r>
      <w:r w:rsidRPr="00E465D0">
        <w:t>careers</w:t>
      </w:r>
      <w:r w:rsidR="00164EA3" w:rsidRPr="00E465D0">
        <w:t>.</w:t>
      </w:r>
      <w:r w:rsidRPr="00E465D0">
        <w:t xml:space="preserve"> </w:t>
      </w:r>
    </w:p>
    <w:p w14:paraId="7EEEF5DB" w14:textId="4057697F" w:rsidR="00B9123A" w:rsidRPr="00E465D0" w:rsidRDefault="00B9123A" w:rsidP="00E84B6A">
      <w:pPr>
        <w:spacing w:after="0"/>
        <w:ind w:firstLine="720"/>
      </w:pPr>
      <w:r w:rsidRPr="00E465D0">
        <w:t xml:space="preserve">Next, individuals from </w:t>
      </w:r>
      <w:r w:rsidR="0074142B" w:rsidRPr="00E465D0">
        <w:t xml:space="preserve">zero-vehicle </w:t>
      </w:r>
      <w:r w:rsidRPr="00E465D0">
        <w:t>households are likely to be affiliated with the NT (</w:t>
      </w:r>
      <w:r w:rsidR="005D4542">
        <w:t>“</w:t>
      </w:r>
      <w:r w:rsidRPr="00E465D0">
        <w:t>player</w:t>
      </w:r>
      <w:r w:rsidR="005D4542">
        <w:t>”</w:t>
      </w:r>
      <w:r w:rsidRPr="00E465D0">
        <w:t xml:space="preserve">) segment. Without a car, a person must base their travel decisions on others or specific services, such as public transportation or micro-mobility options. Therefore, they </w:t>
      </w:r>
      <w:r w:rsidR="00026D24">
        <w:t xml:space="preserve">may </w:t>
      </w:r>
      <w:r w:rsidR="0074142B" w:rsidRPr="00E465D0">
        <w:t xml:space="preserve">attempt to arrange their work location flexibly around their nonwork pursuits. </w:t>
      </w:r>
      <w:r w:rsidRPr="00E465D0">
        <w:t>Finally, individuals from rural households are also more likely to fall within the NT (“player”) segment</w:t>
      </w:r>
      <w:r w:rsidR="0074142B" w:rsidRPr="00E465D0">
        <w:t>, presumably because of the need to carefully plan and schedule “less-easy to-access” nonwork activities</w:t>
      </w:r>
      <w:r w:rsidRPr="00E465D0">
        <w:t>. This contrasts with urban and suburban residents, who typically have easier access to leisure and maintenance activities</w:t>
      </w:r>
      <w:r w:rsidR="00772263" w:rsidRPr="00E465D0">
        <w:t xml:space="preserve">, </w:t>
      </w:r>
      <w:r w:rsidRPr="00E465D0">
        <w:t xml:space="preserve">allowing </w:t>
      </w:r>
      <w:r w:rsidR="00772263" w:rsidRPr="00E465D0">
        <w:t xml:space="preserve">for a </w:t>
      </w:r>
      <w:r w:rsidRPr="00E465D0">
        <w:t>more seamless</w:t>
      </w:r>
      <w:r w:rsidR="00772263" w:rsidRPr="00E465D0">
        <w:t xml:space="preserve"> </w:t>
      </w:r>
      <w:r w:rsidRPr="00E465D0">
        <w:t>integrat</w:t>
      </w:r>
      <w:r w:rsidR="00772263" w:rsidRPr="00E465D0">
        <w:t>ion</w:t>
      </w:r>
      <w:r w:rsidRPr="00E465D0">
        <w:t xml:space="preserve"> </w:t>
      </w:r>
      <w:r w:rsidR="00772263" w:rsidRPr="00E465D0">
        <w:t xml:space="preserve">of nonwork participations around telework </w:t>
      </w:r>
      <w:r w:rsidRPr="00E465D0">
        <w:t>choices.</w:t>
      </w:r>
    </w:p>
    <w:p w14:paraId="5E3D3955" w14:textId="2BB687C0" w:rsidR="00B9123A" w:rsidRDefault="00B9123A" w:rsidP="00E84B6A">
      <w:pPr>
        <w:spacing w:after="0"/>
        <w:ind w:firstLine="720"/>
      </w:pPr>
      <w:r w:rsidRPr="00E465D0">
        <w:t xml:space="preserve">The constant reported toward the end of Table 5 lacks a substantive, interpretable meaning but serves as an adjustment factor. Despite its lack of interpretability, the positive value implies a larger segment size for the NT </w:t>
      </w:r>
      <w:r w:rsidR="00CB28A2" w:rsidRPr="00E465D0">
        <w:t>(</w:t>
      </w:r>
      <w:r w:rsidR="00CB28A2">
        <w:t>“</w:t>
      </w:r>
      <w:r w:rsidR="00CB28A2" w:rsidRPr="00E465D0">
        <w:t>player</w:t>
      </w:r>
      <w:r w:rsidR="00CB28A2">
        <w:t>”</w:t>
      </w:r>
      <w:r w:rsidR="00CB28A2" w:rsidRPr="00E465D0">
        <w:t>)</w:t>
      </w:r>
      <w:r w:rsidR="00CB28A2">
        <w:t xml:space="preserve"> </w:t>
      </w:r>
      <w:r w:rsidRPr="00E465D0">
        <w:t xml:space="preserve">segment in comparison to the TN </w:t>
      </w:r>
      <w:r w:rsidR="00CB28A2">
        <w:rPr>
          <w:shd w:val="clear" w:color="auto" w:fill="FFFFFF"/>
        </w:rPr>
        <w:t>(</w:t>
      </w:r>
      <w:r w:rsidR="00CB28A2" w:rsidRPr="00E465D0">
        <w:t>“worker”</w:t>
      </w:r>
      <w:r w:rsidR="00CB28A2" w:rsidRPr="00E465D0">
        <w:rPr>
          <w:shd w:val="clear" w:color="auto" w:fill="FFFFFF"/>
        </w:rPr>
        <w:t xml:space="preserve">) </w:t>
      </w:r>
      <w:r w:rsidRPr="00E465D0">
        <w:t xml:space="preserve">segment, as detailed below. It is crucial to highlight that the causal direction at play—i.e., the segment to which an individual belongs—is unaffected by any employment characteristics, such as the number of work hours, workdays per week, occupation sector, or company size. This is evident from the absence of any employment attribute in Table 5. The implication is that whether an individual falls into the </w:t>
      </w:r>
      <w:r w:rsidR="00CB28A2">
        <w:t>“</w:t>
      </w:r>
      <w:r w:rsidRPr="00E465D0">
        <w:t>player</w:t>
      </w:r>
      <w:r w:rsidR="00CB28A2">
        <w:t>”</w:t>
      </w:r>
      <w:r w:rsidRPr="00E465D0">
        <w:t xml:space="preserve"> or </w:t>
      </w:r>
      <w:r w:rsidR="00CB28A2" w:rsidRPr="00E465D0">
        <w:t>“worker”</w:t>
      </w:r>
      <w:r w:rsidR="00CB28A2">
        <w:t xml:space="preserve"> </w:t>
      </w:r>
      <w:r w:rsidRPr="00E465D0">
        <w:t xml:space="preserve">category is more strongly influenced by basic lifecycle and related demographic attributes than by employment-related factors. </w:t>
      </w:r>
    </w:p>
    <w:p w14:paraId="6F8F7D34" w14:textId="77777777" w:rsidR="00E84B6A" w:rsidRPr="00E465D0" w:rsidRDefault="00E84B6A" w:rsidP="00E84B6A">
      <w:pPr>
        <w:spacing w:after="0"/>
        <w:ind w:firstLine="720"/>
      </w:pPr>
    </w:p>
    <w:bookmarkEnd w:id="10"/>
    <w:p w14:paraId="761BAC8F" w14:textId="1D9E555B" w:rsidR="004628FC" w:rsidRPr="00E465D0" w:rsidRDefault="004628FC" w:rsidP="00E84B6A">
      <w:pPr>
        <w:pStyle w:val="Heading2"/>
        <w:spacing w:before="0"/>
      </w:pPr>
      <w:r w:rsidRPr="00E465D0">
        <w:t>Latent Segment Sizes and Characteristics</w:t>
      </w:r>
    </w:p>
    <w:p w14:paraId="1EB7EE93" w14:textId="5ED8F950" w:rsidR="004628FC" w:rsidRPr="00E465D0" w:rsidRDefault="004628FC" w:rsidP="00E84B6A">
      <w:pPr>
        <w:spacing w:after="0"/>
        <w:rPr>
          <w:shd w:val="clear" w:color="auto" w:fill="FFFFFF"/>
        </w:rPr>
      </w:pPr>
      <w:bookmarkStart w:id="11" w:name="_Hlk172901064"/>
      <w:r w:rsidRPr="00E465D0">
        <w:rPr>
          <w:shd w:val="clear" w:color="auto" w:fill="FFFFFF"/>
        </w:rPr>
        <w:t xml:space="preserve">Utilizing the latent class assignment for each individual, we ascertain the size of each segment employing the methodology devised by Bhat (1997). The final row of Table </w:t>
      </w:r>
      <w:r w:rsidR="000C6C6A" w:rsidRPr="00E465D0">
        <w:rPr>
          <w:shd w:val="clear" w:color="auto" w:fill="FFFFFF"/>
        </w:rPr>
        <w:t xml:space="preserve">5 </w:t>
      </w:r>
      <w:r w:rsidRPr="00E465D0">
        <w:rPr>
          <w:shd w:val="clear" w:color="auto" w:fill="FFFFFF"/>
        </w:rPr>
        <w:t xml:space="preserve">presents the proportions reflecting the size of the latent segments; </w:t>
      </w:r>
      <w:r w:rsidR="00E12649" w:rsidRPr="00E465D0">
        <w:rPr>
          <w:shd w:val="clear" w:color="auto" w:fill="FFFFFF"/>
        </w:rPr>
        <w:t>64.8</w:t>
      </w:r>
      <w:r w:rsidRPr="00E465D0">
        <w:rPr>
          <w:shd w:val="clear" w:color="auto" w:fill="FFFFFF"/>
        </w:rPr>
        <w:t xml:space="preserve">% of the sample is estimated to fall within the NT </w:t>
      </w:r>
      <w:r w:rsidR="00CB28A2" w:rsidRPr="00E465D0">
        <w:t>(</w:t>
      </w:r>
      <w:r w:rsidR="00CB28A2">
        <w:t>“</w:t>
      </w:r>
      <w:r w:rsidR="00CB28A2" w:rsidRPr="00E465D0">
        <w:t>player</w:t>
      </w:r>
      <w:r w:rsidR="00CB28A2">
        <w:t>”</w:t>
      </w:r>
      <w:r w:rsidR="00CB28A2" w:rsidRPr="00E465D0">
        <w:t>)</w:t>
      </w:r>
      <w:r w:rsidR="00CB28A2">
        <w:t xml:space="preserve"> </w:t>
      </w:r>
      <w:r w:rsidRPr="00E465D0">
        <w:rPr>
          <w:shd w:val="clear" w:color="auto" w:fill="FFFFFF"/>
        </w:rPr>
        <w:t xml:space="preserve">segment, while </w:t>
      </w:r>
      <w:r w:rsidR="00E12649" w:rsidRPr="00E465D0">
        <w:rPr>
          <w:shd w:val="clear" w:color="auto" w:fill="FFFFFF"/>
        </w:rPr>
        <w:t>35.2</w:t>
      </w:r>
      <w:r w:rsidRPr="00E465D0">
        <w:rPr>
          <w:shd w:val="clear" w:color="auto" w:fill="FFFFFF"/>
        </w:rPr>
        <w:t xml:space="preserve">% is estimated to be in the TN </w:t>
      </w:r>
      <w:r w:rsidR="00CB28A2">
        <w:rPr>
          <w:shd w:val="clear" w:color="auto" w:fill="FFFFFF"/>
        </w:rPr>
        <w:t>(</w:t>
      </w:r>
      <w:r w:rsidR="00CB28A2" w:rsidRPr="00E465D0">
        <w:t>“worker”</w:t>
      </w:r>
      <w:r w:rsidRPr="00E465D0">
        <w:rPr>
          <w:shd w:val="clear" w:color="auto" w:fill="FFFFFF"/>
        </w:rPr>
        <w:t>) segment. In contrast to previous studies that assume a single causal direction, our research indicates heterogeneity in the population regarding the causal direction of the effect.</w:t>
      </w:r>
    </w:p>
    <w:p w14:paraId="1148445D" w14:textId="4FC67878" w:rsidR="004628FC" w:rsidRDefault="004628FC" w:rsidP="00E84B6A">
      <w:pPr>
        <w:spacing w:after="0"/>
        <w:ind w:firstLine="720"/>
        <w:rPr>
          <w:shd w:val="clear" w:color="auto" w:fill="FFFFFF"/>
        </w:rPr>
      </w:pPr>
      <w:r w:rsidRPr="00E465D0">
        <w:rPr>
          <w:shd w:val="clear" w:color="auto" w:fill="FFFFFF"/>
        </w:rPr>
        <w:t xml:space="preserve">Table </w:t>
      </w:r>
      <w:r w:rsidR="000C6C6A" w:rsidRPr="00E465D0">
        <w:rPr>
          <w:shd w:val="clear" w:color="auto" w:fill="FFFFFF"/>
        </w:rPr>
        <w:t xml:space="preserve">6 </w:t>
      </w:r>
      <w:r w:rsidRPr="00E465D0">
        <w:rPr>
          <w:shd w:val="clear" w:color="auto" w:fill="FFFFFF"/>
        </w:rPr>
        <w:t xml:space="preserve">presents a comprehensive breakdown of the variations of the two segments based on demographic attributes, utilizing actual percentages calculated with the procedure outlined by Bhat (1997). In the primary numeric column labeled </w:t>
      </w:r>
      <w:r w:rsidR="00CB28A2">
        <w:rPr>
          <w:shd w:val="clear" w:color="auto" w:fill="FFFFFF"/>
        </w:rPr>
        <w:t>“</w:t>
      </w:r>
      <w:r w:rsidRPr="00E465D0">
        <w:rPr>
          <w:shd w:val="clear" w:color="auto" w:fill="FFFFFF"/>
        </w:rPr>
        <w:t xml:space="preserve">Percent </w:t>
      </w:r>
      <w:r w:rsidR="00026D24">
        <w:rPr>
          <w:shd w:val="clear" w:color="auto" w:fill="FFFFFF"/>
        </w:rPr>
        <w:t xml:space="preserve">(%) </w:t>
      </w:r>
      <w:r w:rsidRPr="00E465D0">
        <w:rPr>
          <w:shd w:val="clear" w:color="auto" w:fill="FFFFFF"/>
        </w:rPr>
        <w:t>within segment,</w:t>
      </w:r>
      <w:r w:rsidR="00CB28A2">
        <w:rPr>
          <w:shd w:val="clear" w:color="auto" w:fill="FFFFFF"/>
        </w:rPr>
        <w:t>”</w:t>
      </w:r>
      <w:r w:rsidRPr="00E465D0">
        <w:rPr>
          <w:shd w:val="clear" w:color="auto" w:fill="FFFFFF"/>
        </w:rPr>
        <w:t xml:space="preserve"> the variable distribution is illustrated within each segment. For instance, in the first segment where nonwork travel influences telework frequency (NT), </w:t>
      </w:r>
      <w:r w:rsidR="00E12649" w:rsidRPr="00E465D0">
        <w:rPr>
          <w:shd w:val="clear" w:color="auto" w:fill="FFFFFF"/>
        </w:rPr>
        <w:t>48.5</w:t>
      </w:r>
      <w:r w:rsidRPr="00E465D0">
        <w:rPr>
          <w:shd w:val="clear" w:color="auto" w:fill="FFFFFF"/>
        </w:rPr>
        <w:t xml:space="preserve">% are women, and </w:t>
      </w:r>
      <w:r w:rsidR="00026D24">
        <w:rPr>
          <w:shd w:val="clear" w:color="auto" w:fill="FFFFFF"/>
        </w:rPr>
        <w:t>51.5</w:t>
      </w:r>
      <w:r w:rsidRPr="00E465D0">
        <w:rPr>
          <w:shd w:val="clear" w:color="auto" w:fill="FFFFFF"/>
        </w:rPr>
        <w:t xml:space="preserve">% are men. In the second segment where telework habits influences nonwork travel frequency (TN), the corresponding split between women and men is </w:t>
      </w:r>
      <w:r w:rsidR="00026D24">
        <w:rPr>
          <w:shd w:val="clear" w:color="auto" w:fill="FFFFFF"/>
        </w:rPr>
        <w:t>49.1</w:t>
      </w:r>
      <w:r w:rsidRPr="00E465D0">
        <w:rPr>
          <w:shd w:val="clear" w:color="auto" w:fill="FFFFFF"/>
        </w:rPr>
        <w:t xml:space="preserve">% and </w:t>
      </w:r>
      <w:r w:rsidR="00E12649" w:rsidRPr="00E465D0">
        <w:rPr>
          <w:shd w:val="clear" w:color="auto" w:fill="FFFFFF"/>
        </w:rPr>
        <w:t>50.9</w:t>
      </w:r>
      <w:r w:rsidRPr="00E465D0">
        <w:rPr>
          <w:shd w:val="clear" w:color="auto" w:fill="FFFFFF"/>
        </w:rPr>
        <w:t>%, respectively.</w:t>
      </w:r>
    </w:p>
    <w:p w14:paraId="1C7357CA" w14:textId="30694CD3" w:rsidR="004628FC" w:rsidRPr="00E465D0" w:rsidRDefault="004628FC" w:rsidP="00E84B6A">
      <w:pPr>
        <w:spacing w:after="0"/>
        <w:ind w:firstLine="720"/>
        <w:rPr>
          <w:shd w:val="clear" w:color="auto" w:fill="FFFFFF"/>
        </w:rPr>
      </w:pPr>
      <w:r w:rsidRPr="00E465D0">
        <w:rPr>
          <w:shd w:val="clear" w:color="auto" w:fill="FFFFFF"/>
        </w:rPr>
        <w:t xml:space="preserve">An alternative </w:t>
      </w:r>
      <w:r w:rsidR="00026D24">
        <w:rPr>
          <w:shd w:val="clear" w:color="auto" w:fill="FFFFFF"/>
        </w:rPr>
        <w:t xml:space="preserve">characterization of the </w:t>
      </w:r>
      <w:r w:rsidRPr="00E465D0">
        <w:rPr>
          <w:shd w:val="clear" w:color="auto" w:fill="FFFFFF"/>
        </w:rPr>
        <w:t>segment</w:t>
      </w:r>
      <w:r w:rsidR="00026D24">
        <w:rPr>
          <w:shd w:val="clear" w:color="auto" w:fill="FFFFFF"/>
        </w:rPr>
        <w:t xml:space="preserve">s </w:t>
      </w:r>
      <w:r w:rsidRPr="00E465D0">
        <w:rPr>
          <w:shd w:val="clear" w:color="auto" w:fill="FFFFFF"/>
        </w:rPr>
        <w:t xml:space="preserve">is found in the entries corresponding to the column titled </w:t>
      </w:r>
      <w:r w:rsidR="00CB28A2">
        <w:rPr>
          <w:shd w:val="clear" w:color="auto" w:fill="FFFFFF"/>
        </w:rPr>
        <w:t>“</w:t>
      </w:r>
      <w:r w:rsidRPr="00E465D0">
        <w:rPr>
          <w:shd w:val="clear" w:color="auto" w:fill="FFFFFF"/>
        </w:rPr>
        <w:t>Percent within attribute.</w:t>
      </w:r>
      <w:r w:rsidR="00CB28A2">
        <w:rPr>
          <w:shd w:val="clear" w:color="auto" w:fill="FFFFFF"/>
        </w:rPr>
        <w:t>”</w:t>
      </w:r>
      <w:r w:rsidRPr="00E465D0">
        <w:rPr>
          <w:shd w:val="clear" w:color="auto" w:fill="FFFFFF"/>
        </w:rPr>
        <w:t xml:space="preserve"> These columns outline the binary split between the two segments for each individual variable (or attribute). Notably, </w:t>
      </w:r>
      <w:r w:rsidR="00E12649" w:rsidRPr="00E465D0">
        <w:rPr>
          <w:shd w:val="clear" w:color="auto" w:fill="FFFFFF"/>
        </w:rPr>
        <w:t>64.6</w:t>
      </w:r>
      <w:r w:rsidRPr="00E465D0">
        <w:rPr>
          <w:shd w:val="clear" w:color="auto" w:fill="FFFFFF"/>
        </w:rPr>
        <w:t xml:space="preserve">% of women belong to segment one (compared </w:t>
      </w:r>
      <w:r w:rsidR="00026D24">
        <w:rPr>
          <w:shd w:val="clear" w:color="auto" w:fill="FFFFFF"/>
        </w:rPr>
        <w:t xml:space="preserve">to </w:t>
      </w:r>
      <w:r w:rsidR="00E12649" w:rsidRPr="00E465D0">
        <w:rPr>
          <w:shd w:val="clear" w:color="auto" w:fill="FFFFFF"/>
        </w:rPr>
        <w:t>65.1</w:t>
      </w:r>
      <w:r w:rsidRPr="00E465D0">
        <w:rPr>
          <w:shd w:val="clear" w:color="auto" w:fill="FFFFFF"/>
        </w:rPr>
        <w:t xml:space="preserve">% of men), while </w:t>
      </w:r>
      <w:r w:rsidR="00E12649" w:rsidRPr="00E465D0">
        <w:rPr>
          <w:shd w:val="clear" w:color="auto" w:fill="FFFFFF"/>
        </w:rPr>
        <w:t>35.4</w:t>
      </w:r>
      <w:r w:rsidRPr="00E465D0">
        <w:rPr>
          <w:shd w:val="clear" w:color="auto" w:fill="FFFFFF"/>
        </w:rPr>
        <w:t xml:space="preserve">% of women belong to segment two (compared to </w:t>
      </w:r>
      <w:r w:rsidR="00E12649" w:rsidRPr="00E465D0">
        <w:rPr>
          <w:shd w:val="clear" w:color="auto" w:fill="FFFFFF"/>
        </w:rPr>
        <w:t>34.9</w:t>
      </w:r>
      <w:r w:rsidRPr="00E465D0">
        <w:rPr>
          <w:shd w:val="clear" w:color="auto" w:fill="FFFFFF"/>
        </w:rPr>
        <w:t xml:space="preserve">% of men). These percentages closely align with the segment size distributions at the bottom of Table </w:t>
      </w:r>
      <w:r w:rsidR="000C6C6A" w:rsidRPr="00E465D0">
        <w:rPr>
          <w:shd w:val="clear" w:color="auto" w:fill="FFFFFF"/>
        </w:rPr>
        <w:t>5</w:t>
      </w:r>
      <w:r w:rsidRPr="00E465D0">
        <w:rPr>
          <w:shd w:val="clear" w:color="auto" w:fill="FFFFFF"/>
        </w:rPr>
        <w:t xml:space="preserve">, where </w:t>
      </w:r>
      <w:r w:rsidR="00E12649" w:rsidRPr="00E465D0">
        <w:rPr>
          <w:shd w:val="clear" w:color="auto" w:fill="FFFFFF"/>
        </w:rPr>
        <w:t>64.8</w:t>
      </w:r>
      <w:r w:rsidRPr="00E465D0">
        <w:rPr>
          <w:shd w:val="clear" w:color="auto" w:fill="FFFFFF"/>
        </w:rPr>
        <w:t xml:space="preserve">% of the sample is part of segment one, and </w:t>
      </w:r>
      <w:r w:rsidR="00E12649" w:rsidRPr="00E465D0">
        <w:rPr>
          <w:shd w:val="clear" w:color="auto" w:fill="FFFFFF"/>
        </w:rPr>
        <w:t>35.2</w:t>
      </w:r>
      <w:r w:rsidRPr="00E465D0">
        <w:rPr>
          <w:shd w:val="clear" w:color="auto" w:fill="FFFFFF"/>
        </w:rPr>
        <w:t xml:space="preserve">% is likely a member of </w:t>
      </w:r>
      <w:r w:rsidRPr="00E465D0">
        <w:rPr>
          <w:shd w:val="clear" w:color="auto" w:fill="FFFFFF"/>
        </w:rPr>
        <w:lastRenderedPageBreak/>
        <w:t xml:space="preserve">segment two. This consistency indicates </w:t>
      </w:r>
      <w:r w:rsidR="00CC0F15" w:rsidRPr="00E465D0">
        <w:rPr>
          <w:shd w:val="clear" w:color="auto" w:fill="FFFFFF"/>
        </w:rPr>
        <w:t xml:space="preserve">little </w:t>
      </w:r>
      <w:r w:rsidRPr="00E465D0">
        <w:rPr>
          <w:shd w:val="clear" w:color="auto" w:fill="FFFFFF"/>
        </w:rPr>
        <w:t>variation within the gender attribute across the two segments.</w:t>
      </w:r>
    </w:p>
    <w:p w14:paraId="771DD746" w14:textId="13814056" w:rsidR="00E84B6A" w:rsidRDefault="004628FC" w:rsidP="00E84B6A">
      <w:pPr>
        <w:spacing w:after="0"/>
        <w:ind w:firstLine="720"/>
        <w:rPr>
          <w:shd w:val="clear" w:color="auto" w:fill="FFFFFF"/>
        </w:rPr>
      </w:pPr>
      <w:r w:rsidRPr="00E465D0">
        <w:rPr>
          <w:shd w:val="clear" w:color="auto" w:fill="FFFFFF"/>
        </w:rPr>
        <w:t xml:space="preserve">Similar interpretations can be extended to other entries in the table related to various exogenous variables. The percentages of sociodemographic split </w:t>
      </w:r>
      <w:r w:rsidR="00CB28A2">
        <w:rPr>
          <w:shd w:val="clear" w:color="auto" w:fill="FFFFFF"/>
        </w:rPr>
        <w:t>“</w:t>
      </w:r>
      <w:r w:rsidRPr="00E465D0">
        <w:rPr>
          <w:shd w:val="clear" w:color="auto" w:fill="FFFFFF"/>
        </w:rPr>
        <w:t>within segment</w:t>
      </w:r>
      <w:r w:rsidR="00CB28A2">
        <w:rPr>
          <w:shd w:val="clear" w:color="auto" w:fill="FFFFFF"/>
        </w:rPr>
        <w:t>”</w:t>
      </w:r>
      <w:r w:rsidRPr="00E465D0">
        <w:rPr>
          <w:shd w:val="clear" w:color="auto" w:fill="FFFFFF"/>
        </w:rPr>
        <w:t xml:space="preserve"> and </w:t>
      </w:r>
      <w:r w:rsidR="00CB28A2">
        <w:rPr>
          <w:shd w:val="clear" w:color="auto" w:fill="FFFFFF"/>
        </w:rPr>
        <w:t>“</w:t>
      </w:r>
      <w:r w:rsidRPr="00E465D0">
        <w:rPr>
          <w:shd w:val="clear" w:color="auto" w:fill="FFFFFF"/>
        </w:rPr>
        <w:t>within attribute</w:t>
      </w:r>
      <w:r w:rsidR="00CB28A2">
        <w:rPr>
          <w:shd w:val="clear" w:color="auto" w:fill="FFFFFF"/>
        </w:rPr>
        <w:t>”</w:t>
      </w:r>
      <w:r w:rsidRPr="00E465D0">
        <w:rPr>
          <w:shd w:val="clear" w:color="auto" w:fill="FFFFFF"/>
        </w:rPr>
        <w:t xml:space="preserve"> align with the results in Table </w:t>
      </w:r>
      <w:r w:rsidR="00026D24">
        <w:rPr>
          <w:shd w:val="clear" w:color="auto" w:fill="FFFFFF"/>
        </w:rPr>
        <w:t>5</w:t>
      </w:r>
      <w:r w:rsidRPr="00E465D0">
        <w:rPr>
          <w:shd w:val="clear" w:color="auto" w:fill="FFFFFF"/>
        </w:rPr>
        <w:t>. As expected, the most significant shifts and variations occur for sociodemographic variables that proved to be significant in the membership model (</w:t>
      </w:r>
      <w:r w:rsidR="00026D24">
        <w:rPr>
          <w:shd w:val="clear" w:color="auto" w:fill="FFFFFF"/>
        </w:rPr>
        <w:t>specifically</w:t>
      </w:r>
      <w:r w:rsidRPr="00E465D0">
        <w:rPr>
          <w:shd w:val="clear" w:color="auto" w:fill="FFFFFF"/>
        </w:rPr>
        <w:t xml:space="preserve">, </w:t>
      </w:r>
      <w:r w:rsidR="00026D24">
        <w:rPr>
          <w:shd w:val="clear" w:color="auto" w:fill="FFFFFF"/>
        </w:rPr>
        <w:t>single parents</w:t>
      </w:r>
      <w:r w:rsidRPr="00E465D0">
        <w:rPr>
          <w:shd w:val="clear" w:color="auto" w:fill="FFFFFF"/>
        </w:rPr>
        <w:t xml:space="preserve">, age, </w:t>
      </w:r>
      <w:r w:rsidR="001E243B" w:rsidRPr="00E465D0">
        <w:rPr>
          <w:shd w:val="clear" w:color="auto" w:fill="FFFFFF"/>
        </w:rPr>
        <w:t>vehicle ownership, and residential location</w:t>
      </w:r>
      <w:r w:rsidRPr="00E465D0">
        <w:rPr>
          <w:shd w:val="clear" w:color="auto" w:fill="FFFFFF"/>
        </w:rPr>
        <w:t>), while other sociodemographic attributes exhibit minimal variation across the segments.</w:t>
      </w:r>
    </w:p>
    <w:p w14:paraId="5E34E211" w14:textId="5D71F055" w:rsidR="00026D24" w:rsidRPr="00E465D0" w:rsidRDefault="00026D24" w:rsidP="00E84B6A">
      <w:pPr>
        <w:spacing w:after="0"/>
        <w:ind w:firstLine="720"/>
        <w:rPr>
          <w:shd w:val="clear" w:color="auto" w:fill="FFFFFF"/>
        </w:rPr>
      </w:pPr>
      <w:r>
        <w:rPr>
          <w:shd w:val="clear" w:color="auto" w:fill="FFFFFF"/>
        </w:rPr>
        <w:t xml:space="preserve"> </w:t>
      </w:r>
    </w:p>
    <w:bookmarkEnd w:id="11"/>
    <w:p w14:paraId="41B6AEC9" w14:textId="26FD9819" w:rsidR="00823364" w:rsidRPr="00E465D0" w:rsidRDefault="004628FC" w:rsidP="00E84B6A">
      <w:pPr>
        <w:pStyle w:val="Heading2"/>
        <w:spacing w:before="0"/>
      </w:pPr>
      <w:r w:rsidRPr="00E465D0">
        <w:t>Data Fit Measures</w:t>
      </w:r>
    </w:p>
    <w:p w14:paraId="65FCD541" w14:textId="77777777" w:rsidR="00E84B6A" w:rsidRDefault="007525C0" w:rsidP="00E84B6A">
      <w:pPr>
        <w:spacing w:after="0"/>
      </w:pPr>
      <w:bookmarkStart w:id="12" w:name="_Hlk172901082"/>
      <w:r w:rsidRPr="00E465D0">
        <w:t>The goodness of fit for our proposed joint latent segmentation model can be assessed through comparison to other more restrictive models to gauge the improvement in data fit. Specifically, we evaluate the data fit at both the disaggregate and aggregate levels.</w:t>
      </w:r>
    </w:p>
    <w:p w14:paraId="25A0F4A3" w14:textId="4ED895EF" w:rsidR="007525C0" w:rsidRPr="00E465D0" w:rsidRDefault="007525C0" w:rsidP="00E84B6A">
      <w:pPr>
        <w:spacing w:after="0"/>
      </w:pPr>
      <w:r w:rsidRPr="00E465D0">
        <w:t xml:space="preserve"> </w:t>
      </w:r>
    </w:p>
    <w:p w14:paraId="1D1EF81A" w14:textId="77777777" w:rsidR="007525C0" w:rsidRPr="00E465D0" w:rsidRDefault="007525C0" w:rsidP="00E84B6A">
      <w:pPr>
        <w:pStyle w:val="Heading3"/>
      </w:pPr>
      <w:r w:rsidRPr="00E465D0">
        <w:t>Disaggregate Data Fit Measures</w:t>
      </w:r>
    </w:p>
    <w:p w14:paraId="61FBC3F8" w14:textId="49F429D6" w:rsidR="0084438A" w:rsidRPr="00E465D0" w:rsidRDefault="007525C0" w:rsidP="00E84B6A">
      <w:pPr>
        <w:spacing w:after="0"/>
      </w:pPr>
      <w:r w:rsidRPr="00E465D0">
        <w:t>At the disaggregate level, we compare the data fit provided by our proposed model relative to t</w:t>
      </w:r>
      <w:r w:rsidR="001C6282" w:rsidRPr="00E465D0">
        <w:t>wo non-nested</w:t>
      </w:r>
      <w:r w:rsidRPr="00E465D0">
        <w:t xml:space="preserve"> versions: (i) a </w:t>
      </w:r>
      <w:r w:rsidR="002B65E5" w:rsidRPr="00E465D0">
        <w:t xml:space="preserve">joint </w:t>
      </w:r>
      <w:r w:rsidRPr="00E465D0">
        <w:t xml:space="preserve">model </w:t>
      </w:r>
      <w:r w:rsidR="00F1205D" w:rsidRPr="00E465D0">
        <w:t xml:space="preserve">that </w:t>
      </w:r>
      <w:r w:rsidR="002B65E5" w:rsidRPr="00E465D0">
        <w:t>assumes a strict NT “player” causality direction, and (ii) a joint model that assumes a strict TN “player</w:t>
      </w:r>
      <w:r w:rsidR="002B65E5" w:rsidRPr="00027EAA">
        <w:t>”</w:t>
      </w:r>
      <w:r w:rsidR="002B65E5" w:rsidRPr="00E465D0">
        <w:t xml:space="preserve"> causality direction</w:t>
      </w:r>
      <w:r w:rsidR="00F1205D" w:rsidRPr="00E465D0">
        <w:t>. Note that, in both these non-nested versions, we still consider the jointness originating from the correlation in unobserved</w:t>
      </w:r>
      <w:r w:rsidR="00026D24">
        <w:t xml:space="preserve"> factors</w:t>
      </w:r>
      <w:r w:rsidR="00F1205D" w:rsidRPr="00E465D0">
        <w:t xml:space="preserve"> across the dimensions. As indicated in Section 2, all earlier studies have exclusively considered one specific direction of causality (without also considering the jointness). These non-nested versions can be compared against our proposed model using </w:t>
      </w:r>
      <w:r w:rsidR="0084438A" w:rsidRPr="00E465D0">
        <w:t xml:space="preserve">the Bayesian Information Criteria (BIC) statistic </w:t>
      </w:r>
      <w:r w:rsidR="009C5C94" w:rsidRPr="00C83365">
        <w:rPr>
          <w:position w:val="-16"/>
        </w:rPr>
        <w:object w:dxaOrig="5880" w:dyaOrig="440" w14:anchorId="3E20894E">
          <v:shape id="_x0000_i1115" type="#_x0000_t75" style="width:294pt;height:22.7pt" o:ole="" o:preferrelative="f">
            <v:imagedata r:id="rId179" o:title=""/>
            <o:lock v:ext="edit" aspectratio="f"/>
          </v:shape>
          <o:OLEObject Type="Embed" ProgID="Equation.DSMT4" ShapeID="_x0000_i1115" DrawAspect="Content" ObjectID="_1784383269" r:id="rId180"/>
        </w:object>
      </w:r>
      <w:r w:rsidR="0084438A" w:rsidRPr="00E465D0">
        <w:t xml:space="preserve"> </w:t>
      </w:r>
      <w:r w:rsidR="00F1205D" w:rsidRPr="00E465D0">
        <w:t xml:space="preserve">as well as a non-nested likelihood ratio test. For the latter, we first compute the </w:t>
      </w:r>
      <w:r w:rsidR="0084438A" w:rsidRPr="00E465D0">
        <w:t xml:space="preserve">adjusted likelihood ratio index </w:t>
      </w:r>
      <w:r w:rsidR="009C5C94" w:rsidRPr="00E465D0">
        <w:rPr>
          <w:position w:val="-10"/>
        </w:rPr>
        <w:object w:dxaOrig="320" w:dyaOrig="360" w14:anchorId="45DC66C3">
          <v:shape id="_x0000_i1116" type="#_x0000_t75" style="width:16.3pt;height:18.45pt" o:ole="" o:preferrelative="f">
            <v:imagedata r:id="rId181" o:title=""/>
            <o:lock v:ext="edit" aspectratio="f"/>
          </v:shape>
          <o:OLEObject Type="Embed" ProgID="Equation.DSMT4" ShapeID="_x0000_i1116" DrawAspect="Content" ObjectID="_1784383270" r:id="rId182"/>
        </w:object>
      </w:r>
      <w:r w:rsidR="0084438A" w:rsidRPr="00E465D0">
        <w:t xml:space="preserve"> </w:t>
      </w:r>
      <w:r w:rsidR="00F1205D" w:rsidRPr="00E465D0">
        <w:t xml:space="preserve">for each of the models </w:t>
      </w:r>
      <w:r w:rsidR="0084438A" w:rsidRPr="00E465D0">
        <w:t>as follows:</w:t>
      </w:r>
    </w:p>
    <w:p w14:paraId="1299DCBC" w14:textId="3C9C377C" w:rsidR="0084438A" w:rsidRPr="00E465D0" w:rsidRDefault="009C5C94" w:rsidP="00E84B6A">
      <w:pPr>
        <w:spacing w:before="120" w:after="120"/>
      </w:pPr>
      <w:r w:rsidRPr="00E465D0">
        <w:rPr>
          <w:position w:val="-28"/>
        </w:rPr>
        <w:object w:dxaOrig="1860" w:dyaOrig="660" w14:anchorId="618FBABD">
          <v:shape id="_x0000_i1117" type="#_x0000_t75" style="width:93pt;height:33pt" o:ole="" o:preferrelative="f">
            <v:imagedata r:id="rId183" o:title=""/>
            <o:lock v:ext="edit" aspectratio="f"/>
          </v:shape>
          <o:OLEObject Type="Embed" ProgID="Equation.DSMT4" ShapeID="_x0000_i1117" DrawAspect="Content" ObjectID="_1784383271" r:id="rId184"/>
        </w:object>
      </w:r>
      <w:r w:rsidR="00F1205D" w:rsidRPr="00E465D0">
        <w:t>,</w:t>
      </w:r>
      <w:r w:rsidR="0084438A" w:rsidRPr="00E465D0">
        <w:tab/>
      </w:r>
      <w:r w:rsidR="0084438A" w:rsidRPr="00E465D0">
        <w:tab/>
      </w:r>
      <w:r w:rsidR="0084438A" w:rsidRPr="00E465D0">
        <w:tab/>
      </w:r>
      <w:r w:rsidR="0084438A" w:rsidRPr="00E465D0">
        <w:tab/>
      </w:r>
      <w:r w:rsidR="0084438A" w:rsidRPr="00E465D0">
        <w:tab/>
      </w:r>
      <w:r w:rsidR="0084438A" w:rsidRPr="00E465D0">
        <w:tab/>
      </w:r>
      <w:r w:rsidR="0084438A" w:rsidRPr="00E465D0">
        <w:tab/>
      </w:r>
      <w:r w:rsidR="0084438A" w:rsidRPr="00E465D0">
        <w:tab/>
      </w:r>
      <w:r w:rsidR="0084438A" w:rsidRPr="00E465D0">
        <w:tab/>
      </w:r>
      <w:r w:rsidR="0084438A" w:rsidRPr="00E465D0">
        <w:tab/>
        <w:t xml:space="preserve">     (</w:t>
      </w:r>
      <w:r w:rsidR="00646C55" w:rsidRPr="00E465D0">
        <w:t>1</w:t>
      </w:r>
      <w:r w:rsidR="00300926" w:rsidRPr="00E465D0">
        <w:t>1</w:t>
      </w:r>
      <w:r w:rsidR="0084438A" w:rsidRPr="00E465D0">
        <w:t>)</w:t>
      </w:r>
    </w:p>
    <w:p w14:paraId="74B7E95A" w14:textId="55D4F2BC" w:rsidR="00E84B6A" w:rsidRPr="00E84B6A" w:rsidRDefault="00F1205D" w:rsidP="00E84B6A">
      <w:pPr>
        <w:spacing w:after="0"/>
      </w:pPr>
      <w:r w:rsidRPr="00E465D0">
        <w:t>where</w:t>
      </w:r>
      <w:r w:rsidR="00B41B16" w:rsidRPr="00E465D0">
        <w:t xml:space="preserve"> </w:t>
      </w:r>
      <w:r w:rsidR="00B41B16" w:rsidRPr="00E84B6A">
        <w:rPr>
          <w:rFonts w:ascii="Cambria Math" w:hAnsi="Cambria Math" w:cs="Cambria Math"/>
        </w:rPr>
        <w:t>𝐿</w:t>
      </w:r>
      <w:r w:rsidR="00B41B16" w:rsidRPr="00E84B6A">
        <w:t>(</w:t>
      </w:r>
      <w:r w:rsidR="00B41B16" w:rsidRPr="00E84B6A">
        <w:rPr>
          <w:rFonts w:ascii="Cambria Math" w:hAnsi="Cambria Math" w:cs="Cambria Math"/>
        </w:rPr>
        <w:t>𝑐</w:t>
      </w:r>
      <w:r w:rsidR="00B41B16" w:rsidRPr="00E84B6A">
        <w:t>)</w:t>
      </w:r>
      <w:r w:rsidR="00B41B16" w:rsidRPr="00E465D0">
        <w:t xml:space="preserve"> denotes the log-likelihood function considering only the thresholds</w:t>
      </w:r>
      <w:r w:rsidRPr="00E465D0">
        <w:t>/constants in the three equations</w:t>
      </w:r>
      <w:r w:rsidR="00B41B16" w:rsidRPr="00E465D0">
        <w:t xml:space="preserve">, and </w:t>
      </w:r>
      <w:r w:rsidR="00B41B16" w:rsidRPr="00E465D0">
        <w:rPr>
          <w:rFonts w:ascii="Cambria Math" w:hAnsi="Cambria Math" w:cs="Cambria Math"/>
        </w:rPr>
        <w:t xml:space="preserve">𝑀 </w:t>
      </w:r>
      <w:r w:rsidR="00B41B16" w:rsidRPr="00E465D0">
        <w:t xml:space="preserve">represents the number of parameters estimated in the </w:t>
      </w:r>
      <w:r w:rsidRPr="00E465D0">
        <w:t xml:space="preserve">proposed </w:t>
      </w:r>
      <w:r w:rsidR="00B41B16" w:rsidRPr="00E465D0">
        <w:t>model</w:t>
      </w:r>
      <w:r w:rsidRPr="00E465D0">
        <w:t xml:space="preserve"> without </w:t>
      </w:r>
      <w:r w:rsidR="00B41B16" w:rsidRPr="00E465D0">
        <w:t>including the thresholds</w:t>
      </w:r>
      <w:r w:rsidRPr="00E465D0">
        <w:t>/constants</w:t>
      </w:r>
      <w:r w:rsidR="00B41B16" w:rsidRPr="00E465D0">
        <w:t>.</w:t>
      </w:r>
      <w:r w:rsidR="006E271B" w:rsidRPr="00E465D0">
        <w:t xml:space="preserve"> </w:t>
      </w:r>
      <w:r w:rsidR="00125DA9" w:rsidRPr="00E465D0">
        <w:t xml:space="preserve">Let the adjusted likelihood ratio index for our proposed model be </w:t>
      </w:r>
      <w:bookmarkStart w:id="13" w:name="_Hlk148695187"/>
      <w:r w:rsidR="009C5C94" w:rsidRPr="00E465D0">
        <w:rPr>
          <w:position w:val="-14"/>
        </w:rPr>
        <w:object w:dxaOrig="740" w:dyaOrig="400" w14:anchorId="16AF9C8D">
          <v:shape id="_x0000_i1118" type="#_x0000_t75" style="width:36.45pt;height:20.55pt" o:ole="" o:preferrelative="f">
            <v:imagedata r:id="rId185" o:title=""/>
            <o:lock v:ext="edit" aspectratio="f"/>
          </v:shape>
          <o:OLEObject Type="Embed" ProgID="Equation.DSMT4" ShapeID="_x0000_i1118" DrawAspect="Content" ObjectID="_1784383272" r:id="rId186"/>
        </w:object>
      </w:r>
      <w:bookmarkEnd w:id="13"/>
      <w:r w:rsidR="00125DA9" w:rsidRPr="00E465D0">
        <w:t xml:space="preserve"> and </w:t>
      </w:r>
      <w:bookmarkStart w:id="14" w:name="_Hlk148695196"/>
      <w:r w:rsidR="00125DA9" w:rsidRPr="00E465D0">
        <w:t xml:space="preserve">for the other </w:t>
      </w:r>
      <w:r w:rsidR="00A55FA2" w:rsidRPr="00E465D0">
        <w:t xml:space="preserve">two models be </w:t>
      </w:r>
      <w:r w:rsidR="009C5C94" w:rsidRPr="00E465D0">
        <w:rPr>
          <w:position w:val="-14"/>
        </w:rPr>
        <w:object w:dxaOrig="800" w:dyaOrig="400" w14:anchorId="6A1596A6">
          <v:shape id="_x0000_i1119" type="#_x0000_t75" style="width:40.3pt;height:20.55pt" o:ole="" o:preferrelative="f">
            <v:imagedata r:id="rId187" o:title=""/>
            <o:lock v:ext="edit" aspectratio="f"/>
          </v:shape>
          <o:OLEObject Type="Embed" ProgID="Equation.DSMT4" ShapeID="_x0000_i1119" DrawAspect="Content" ObjectID="_1784383273" r:id="rId188"/>
        </w:object>
      </w:r>
      <w:bookmarkEnd w:id="14"/>
      <w:r w:rsidR="00A55FA2" w:rsidRPr="00E465D0">
        <w:t xml:space="preserve"> and </w:t>
      </w:r>
      <w:r w:rsidR="009C5C94" w:rsidRPr="00E465D0">
        <w:rPr>
          <w:position w:val="-14"/>
        </w:rPr>
        <w:object w:dxaOrig="859" w:dyaOrig="400" w14:anchorId="30334C71">
          <v:shape id="_x0000_i1120" type="#_x0000_t75" style="width:42.85pt;height:20.55pt" o:ole="" o:preferrelative="f">
            <v:imagedata r:id="rId189" o:title=""/>
            <o:lock v:ext="edit" aspectratio="f"/>
          </v:shape>
          <o:OLEObject Type="Embed" ProgID="Equation.DSMT4" ShapeID="_x0000_i1120" DrawAspect="Content" ObjectID="_1784383274" r:id="rId190"/>
        </w:object>
      </w:r>
      <w:r w:rsidR="00125DA9" w:rsidRPr="00E465D0">
        <w:t xml:space="preserve">, respectively. </w:t>
      </w:r>
      <w:r w:rsidR="00A55FA2" w:rsidRPr="00E465D0">
        <w:t>Considering the NT “player” model as an example, i</w:t>
      </w:r>
      <w:r w:rsidR="00125DA9" w:rsidRPr="00E465D0">
        <w:t xml:space="preserve">f the difference in the indices is </w:t>
      </w:r>
      <w:bookmarkStart w:id="15" w:name="_Hlk148695205"/>
      <w:r w:rsidR="009C5C94" w:rsidRPr="00E465D0">
        <w:rPr>
          <w:position w:val="-14"/>
        </w:rPr>
        <w:object w:dxaOrig="2160" w:dyaOrig="400" w14:anchorId="59415ECE">
          <v:shape id="_x0000_i1121" type="#_x0000_t75" style="width:108pt;height:20.55pt" o:ole="" o:preferrelative="f">
            <v:imagedata r:id="rId191" o:title=""/>
            <o:lock v:ext="edit" aspectratio="f"/>
          </v:shape>
          <o:OLEObject Type="Embed" ProgID="Equation.DSMT4" ShapeID="_x0000_i1121" DrawAspect="Content" ObjectID="_1784383275" r:id="rId192"/>
        </w:object>
      </w:r>
      <w:bookmarkEnd w:id="15"/>
      <w:r w:rsidR="00125DA9" w:rsidRPr="00E465D0">
        <w:t>, then the probability that this difference could have occurred by chance is no larger than</w:t>
      </w:r>
      <w:bookmarkStart w:id="16" w:name="_Hlk148695216"/>
      <w:r w:rsidR="00125DA9" w:rsidRPr="00E84B6A">
        <w:t xml:space="preserve"> </w:t>
      </w:r>
      <w:r w:rsidR="009C5C94" w:rsidRPr="00E84B6A">
        <w:rPr>
          <w:position w:val="-14"/>
        </w:rPr>
        <w:object w:dxaOrig="3900" w:dyaOrig="400" w14:anchorId="3BDEF262">
          <v:shape id="_x0000_i1122" type="#_x0000_t75" style="width:195pt;height:20.55pt" o:ole="" o:preferrelative="f">
            <v:imagedata r:id="rId193" o:title=""/>
            <o:lock v:ext="edit" aspectratio="f"/>
          </v:shape>
          <o:OLEObject Type="Embed" ProgID="Equation.DSMT4" ShapeID="_x0000_i1122" DrawAspect="Content" ObjectID="_1784383276" r:id="rId194"/>
        </w:object>
      </w:r>
      <w:bookmarkEnd w:id="16"/>
      <w:r w:rsidR="00A55FA2" w:rsidRPr="00E84B6A">
        <w:t>. The lower this probability, the more confidence that the proposed model provides a superior data fit.</w:t>
      </w:r>
    </w:p>
    <w:p w14:paraId="5CCBEF7E" w14:textId="2F8DF9E1" w:rsidR="00125DA9" w:rsidRPr="00E84B6A" w:rsidRDefault="00A55FA2" w:rsidP="00E84B6A">
      <w:pPr>
        <w:spacing w:after="0"/>
      </w:pPr>
      <w:r w:rsidRPr="00E84B6A">
        <w:t xml:space="preserve"> </w:t>
      </w:r>
      <w:r w:rsidR="00125DA9" w:rsidRPr="00E84B6A">
        <w:t xml:space="preserve"> </w:t>
      </w:r>
    </w:p>
    <w:p w14:paraId="2DF7658B" w14:textId="77777777" w:rsidR="007525C0" w:rsidRPr="00E84B6A" w:rsidRDefault="007525C0" w:rsidP="00E84B6A">
      <w:pPr>
        <w:pStyle w:val="Heading3"/>
      </w:pPr>
      <w:r w:rsidRPr="00E84B6A">
        <w:t>Aggregate Data Fit Measures</w:t>
      </w:r>
    </w:p>
    <w:p w14:paraId="705D0FF1" w14:textId="0D366D1D" w:rsidR="00300926" w:rsidRPr="00E84B6A" w:rsidRDefault="007525C0" w:rsidP="00E84B6A">
      <w:pPr>
        <w:pStyle w:val="whitespace-pre-wrap"/>
        <w:spacing w:before="0" w:beforeAutospacing="0" w:after="0" w:afterAutospacing="0"/>
        <w:jc w:val="both"/>
      </w:pPr>
      <w:r w:rsidRPr="00E84B6A">
        <w:t xml:space="preserve">At the aggregate level, we evaluate the data fit of </w:t>
      </w:r>
      <w:r w:rsidR="00A55FA2" w:rsidRPr="00E84B6A">
        <w:t xml:space="preserve">our proposed </w:t>
      </w:r>
      <w:r w:rsidRPr="00E84B6A">
        <w:t xml:space="preserve">model </w:t>
      </w:r>
      <w:r w:rsidR="00A55FA2" w:rsidRPr="00E84B6A">
        <w:t xml:space="preserve">with the two other models </w:t>
      </w:r>
      <w:r w:rsidRPr="00E84B6A">
        <w:t xml:space="preserve">by comparing predicted and observed shares of individuals across various combinations of telework frequency and weekly maintenance and leisure stops. To achieve this, the model predicts a multivariate probability for each of the 1792 possible combinations of the three outcomes (7 telework options, 16 maintenance stop options, and 16 leisure stop options) for all individuals. While we could aggregate individual predictions to these 1792 [7×16×16] levels, it would be </w:t>
      </w:r>
      <w:r w:rsidRPr="00E84B6A">
        <w:lastRenderedPageBreak/>
        <w:t>cumbersome and encounter many empty bins with no observed data. Instead, for clarity and to address potential sparsity issues, we aggregate individuals into 36 bins based on coarser categorizations: four telework bins (</w:t>
      </w:r>
      <w:r w:rsidR="00E8360A" w:rsidRPr="00E84B6A">
        <w:t>n</w:t>
      </w:r>
      <w:r w:rsidRPr="00E84B6A">
        <w:t>ever, less than monthly to 1 day/week, 2-3 days/week, and 4+ days/week), three bins for maintenance stops (0-2, 3-5, and 6+), and three bins for leisure stops (0-2, 3-5, 6+). The model's performance is then evaluated by comparing the observed and predicted number of individuals in each of these bins, using a weighted absolute percentage error (WAPE) metric. The weighting in WAPE calculation is based on the actual observed share of individuals in each combination bin.</w:t>
      </w:r>
    </w:p>
    <w:p w14:paraId="30D44A1F" w14:textId="4E801FE0" w:rsidR="00C2241C" w:rsidRPr="00E84B6A" w:rsidRDefault="007525C0" w:rsidP="00E84B6A">
      <w:pPr>
        <w:pStyle w:val="whitespace-pre-wrap"/>
        <w:spacing w:before="0" w:beforeAutospacing="0" w:after="0" w:afterAutospacing="0"/>
        <w:ind w:firstLine="720"/>
        <w:jc w:val="both"/>
      </w:pPr>
      <w:r w:rsidRPr="00E84B6A">
        <w:t xml:space="preserve">Table </w:t>
      </w:r>
      <w:r w:rsidR="0016396E" w:rsidRPr="00E84B6A">
        <w:t>7</w:t>
      </w:r>
      <w:r w:rsidRPr="00E84B6A">
        <w:t xml:space="preserve"> summarizes the model evaluation results. The </w:t>
      </w:r>
      <w:r w:rsidR="0016396E" w:rsidRPr="00E84B6A">
        <w:t xml:space="preserve">top panel of the table provides the disaggregate fit measures, while the bottom panel provides the aggregate data fit measures. The disaggregate fit measures clearly reveal the superior fit of our model, with the probability of chance occurrence of the superior fit being almost non-existent based on the non-nested likelihood ratio tests. The same result is clear in the aggregate data fit measures too for each of the 36 combination bins, with the WAPE for our proposed model turning out to be 11.5% relative to 51.1% for the NT player model and 95.1% for the TN worker model. </w:t>
      </w:r>
      <w:r w:rsidRPr="00E84B6A">
        <w:t>This substantial difference in predictive accuracy highlights the importance of accounting for population heterogeneity through latent segmentation</w:t>
      </w:r>
      <w:r w:rsidR="003D0BA2" w:rsidRPr="00E84B6A">
        <w:t xml:space="preserve">, as well as underscores </w:t>
      </w:r>
      <w:r w:rsidRPr="00E84B6A">
        <w:t xml:space="preserve">the potential for misleading </w:t>
      </w:r>
      <w:r w:rsidR="003D0BA2" w:rsidRPr="00E84B6A">
        <w:t xml:space="preserve">causal inference </w:t>
      </w:r>
      <w:r w:rsidRPr="00E84B6A">
        <w:t>conclusions when such segmentation is ignored.</w:t>
      </w:r>
      <w:r w:rsidR="00026D24" w:rsidRPr="00E84B6A">
        <w:t xml:space="preserve">  </w:t>
      </w:r>
    </w:p>
    <w:p w14:paraId="2453A9B8" w14:textId="77777777" w:rsidR="00E84B6A" w:rsidRPr="00E84B6A" w:rsidRDefault="00E84B6A" w:rsidP="00E84B6A">
      <w:pPr>
        <w:pStyle w:val="whitespace-pre-wrap"/>
        <w:spacing w:before="0" w:beforeAutospacing="0" w:after="0" w:afterAutospacing="0"/>
        <w:ind w:firstLine="720"/>
        <w:jc w:val="both"/>
      </w:pPr>
    </w:p>
    <w:bookmarkEnd w:id="12"/>
    <w:p w14:paraId="23FACD27" w14:textId="08536CAD" w:rsidR="005C29FA" w:rsidRPr="00E84B6A" w:rsidRDefault="005C29FA" w:rsidP="00E84B6A">
      <w:pPr>
        <w:pStyle w:val="Heading1"/>
        <w:spacing w:before="0"/>
      </w:pPr>
      <w:r w:rsidRPr="00E84B6A">
        <w:t xml:space="preserve">IMPLICATIONS </w:t>
      </w:r>
    </w:p>
    <w:p w14:paraId="4F3C560D" w14:textId="6BF21832" w:rsidR="00851079" w:rsidRPr="00E84B6A" w:rsidRDefault="005C29FA" w:rsidP="00E84B6A">
      <w:pPr>
        <w:spacing w:after="0"/>
      </w:pPr>
      <w:bookmarkStart w:id="17" w:name="_Hlk172901147"/>
      <w:r w:rsidRPr="00E84B6A">
        <w:t xml:space="preserve">The estimation results in </w:t>
      </w:r>
      <w:r w:rsidR="003D0BA2" w:rsidRPr="00E84B6A">
        <w:t>the previous section</w:t>
      </w:r>
      <w:r w:rsidRPr="00E84B6A">
        <w:t xml:space="preserve"> </w:t>
      </w:r>
      <w:r w:rsidR="00851079" w:rsidRPr="00E84B6A">
        <w:t xml:space="preserve">do not </w:t>
      </w:r>
      <w:r w:rsidR="00AE0F6B" w:rsidRPr="00E84B6A">
        <w:t>directly reveal the impacts</w:t>
      </w:r>
      <w:r w:rsidR="00851079" w:rsidRPr="00E84B6A">
        <w:t xml:space="preserve"> of variables on </w:t>
      </w:r>
      <w:r w:rsidR="003D0BA2" w:rsidRPr="00E84B6A">
        <w:t xml:space="preserve">teleworking and nonwork </w:t>
      </w:r>
      <w:r w:rsidR="00851079" w:rsidRPr="00E84B6A">
        <w:t>stop</w:t>
      </w:r>
      <w:r w:rsidR="003D0BA2" w:rsidRPr="00E84B6A">
        <w:t>-making</w:t>
      </w:r>
      <w:r w:rsidR="00AE0F6B" w:rsidRPr="00E84B6A">
        <w:t xml:space="preserve">. </w:t>
      </w:r>
      <w:r w:rsidR="003D0BA2" w:rsidRPr="00E84B6A">
        <w:t>In fact</w:t>
      </w:r>
      <w:r w:rsidR="00851079" w:rsidRPr="00E84B6A">
        <w:t xml:space="preserve">, </w:t>
      </w:r>
      <w:r w:rsidR="003D0BA2" w:rsidRPr="00E84B6A">
        <w:t xml:space="preserve">even </w:t>
      </w:r>
      <w:r w:rsidR="00851079" w:rsidRPr="00E84B6A">
        <w:t xml:space="preserve">the </w:t>
      </w:r>
      <w:r w:rsidR="00AE0F6B" w:rsidRPr="00E84B6A">
        <w:t xml:space="preserve">signs associated with the coefficients of the exogenous variables do not necessarily indicate </w:t>
      </w:r>
      <w:r w:rsidR="003D0BA2" w:rsidRPr="00E84B6A">
        <w:t xml:space="preserve">the </w:t>
      </w:r>
      <w:r w:rsidR="00AE0F6B" w:rsidRPr="00E84B6A">
        <w:t xml:space="preserve">directional impact on the </w:t>
      </w:r>
      <w:r w:rsidR="003D0BA2" w:rsidRPr="00E84B6A">
        <w:t>outcomes of interest</w:t>
      </w:r>
      <w:r w:rsidR="00AE0F6B" w:rsidRPr="00E84B6A">
        <w:t>.</w:t>
      </w:r>
      <w:r w:rsidR="00851079" w:rsidRPr="00E84B6A">
        <w:t xml:space="preserve"> This is because of the non-linearity of the model stemming from the unobserved correlation effects, endogenous effects, and latent segmentation assignment, which makes quantifying the effects of variables challenging. </w:t>
      </w:r>
      <w:r w:rsidR="00AE0F6B" w:rsidRPr="00E84B6A">
        <w:t>Yet</w:t>
      </w:r>
      <w:r w:rsidR="00851079" w:rsidRPr="00E84B6A">
        <w:t>,</w:t>
      </w:r>
      <w:r w:rsidR="00AE0F6B" w:rsidRPr="00E84B6A">
        <w:t xml:space="preserve"> for practical applications, policy makers</w:t>
      </w:r>
      <w:r w:rsidR="00AD32BD" w:rsidRPr="00E84B6A">
        <w:t xml:space="preserve"> </w:t>
      </w:r>
      <w:r w:rsidR="003D0BA2" w:rsidRPr="00E84B6A">
        <w:t xml:space="preserve">need </w:t>
      </w:r>
      <w:r w:rsidR="00AD32BD" w:rsidRPr="00E84B6A">
        <w:t xml:space="preserve">a more accessible interpretation of how flexible work arrangements influence individuals' errand and leisure </w:t>
      </w:r>
      <w:r w:rsidR="003D0BA2" w:rsidRPr="00E84B6A">
        <w:t>stop counts</w:t>
      </w:r>
      <w:r w:rsidR="00851079" w:rsidRPr="00E84B6A">
        <w:t xml:space="preserve">. To address this, we leverage our findings to estimate the expected number of maintenance and leisure stops individuals make under various telework arrangements. While the actual outcome effects will vary across individuals due to the non-linear nature of our model, we can compute average treatment effects (ATEs) to determine the average impact of variable changes on weekly stop counts for each </w:t>
      </w:r>
      <w:r w:rsidR="003D0BA2" w:rsidRPr="00E84B6A">
        <w:t xml:space="preserve">nonwork activity </w:t>
      </w:r>
      <w:r w:rsidR="00851079" w:rsidRPr="00E84B6A">
        <w:t>type</w:t>
      </w:r>
      <w:r w:rsidR="003D0BA2" w:rsidRPr="00E84B6A">
        <w:t xml:space="preserve"> (see</w:t>
      </w:r>
      <w:r w:rsidR="00851079" w:rsidRPr="00E84B6A">
        <w:t xml:space="preserve"> Angrist and Imbens</w:t>
      </w:r>
      <w:r w:rsidR="003D0BA2" w:rsidRPr="00E84B6A">
        <w:t xml:space="preserve">, </w:t>
      </w:r>
      <w:r w:rsidR="00851079" w:rsidRPr="00E84B6A">
        <w:t>1991 and Heckman and Vytlacil</w:t>
      </w:r>
      <w:r w:rsidR="003D0BA2" w:rsidRPr="00E84B6A">
        <w:t xml:space="preserve">, </w:t>
      </w:r>
      <w:r w:rsidR="00851079" w:rsidRPr="00E84B6A">
        <w:t xml:space="preserve">2000). </w:t>
      </w:r>
    </w:p>
    <w:p w14:paraId="4109FDCE" w14:textId="6041DD84" w:rsidR="00277C7F" w:rsidRPr="00E84B6A" w:rsidRDefault="00851079" w:rsidP="00E84B6A">
      <w:pPr>
        <w:spacing w:after="0"/>
        <w:ind w:firstLine="720"/>
      </w:pPr>
      <w:r w:rsidRPr="00E84B6A">
        <w:t xml:space="preserve">The ATE computation procedure </w:t>
      </w:r>
      <w:r w:rsidR="00AE0F6B" w:rsidRPr="00E84B6A">
        <w:t>starts with</w:t>
      </w:r>
      <w:r w:rsidRPr="00E84B6A">
        <w:t xml:space="preserve"> comput</w:t>
      </w:r>
      <w:r w:rsidR="00AE0F6B" w:rsidRPr="00E84B6A">
        <w:t>ing</w:t>
      </w:r>
      <w:r w:rsidRPr="00E84B6A">
        <w:t xml:space="preserve">, for each individual, the multivariate predictions for each of the 1792 combinations of possible outcomes for the three outcome variables. </w:t>
      </w:r>
      <w:r w:rsidR="00AD32BD" w:rsidRPr="00E84B6A">
        <w:t>We then calculate the expected number of maintenance and leisure stops for a particular remote work scenario. To formulate this mathematically</w:t>
      </w:r>
      <w:r w:rsidRPr="00E84B6A">
        <w:t xml:space="preserve">, </w:t>
      </w:r>
      <w:r w:rsidR="00277C7F" w:rsidRPr="00E84B6A">
        <w:t xml:space="preserve">as in Equation (8), for a given individual </w:t>
      </w:r>
      <w:r w:rsidR="00277C7F" w:rsidRPr="00E84B6A">
        <w:rPr>
          <w:i/>
          <w:iCs/>
        </w:rPr>
        <w:t>q</w:t>
      </w:r>
      <w:r w:rsidR="00277C7F" w:rsidRPr="00E84B6A">
        <w:t xml:space="preserve">, let </w:t>
      </w:r>
      <w:r w:rsidR="009C5C94" w:rsidRPr="00E84B6A">
        <w:rPr>
          <w:position w:val="-14"/>
        </w:rPr>
        <w:object w:dxaOrig="1160" w:dyaOrig="400" w14:anchorId="633C29D0">
          <v:shape id="_x0000_i1123" type="#_x0000_t75" style="width:57.85pt;height:19.3pt" o:ole="" o:preferrelative="f">
            <v:imagedata r:id="rId195" o:title=""/>
            <o:lock v:ext="edit" aspectratio="f"/>
          </v:shape>
          <o:OLEObject Type="Embed" ProgID="Equation.DSMT4" ShapeID="_x0000_i1123" DrawAspect="Content" ObjectID="_1784383277" r:id="rId196"/>
        </w:object>
      </w:r>
      <w:r w:rsidR="00277C7F" w:rsidRPr="00E84B6A">
        <w:t xml:space="preserve"> be the predicted </w:t>
      </w:r>
      <w:r w:rsidRPr="00E84B6A">
        <w:t xml:space="preserve">multivariate probability of telework arrangement </w:t>
      </w:r>
      <w:r w:rsidR="00277C7F" w:rsidRPr="00E84B6A">
        <w:rPr>
          <w:i/>
          <w:iCs/>
        </w:rPr>
        <w:t>k</w:t>
      </w:r>
      <w:r w:rsidRPr="00E84B6A">
        <w:t xml:space="preserve">, maintenance </w:t>
      </w:r>
      <w:r w:rsidR="00AE0F6B" w:rsidRPr="00E84B6A">
        <w:t xml:space="preserve">stop </w:t>
      </w:r>
      <w:r w:rsidRPr="00E84B6A">
        <w:t xml:space="preserve">count </w:t>
      </w:r>
      <w:r w:rsidR="009C5C94" w:rsidRPr="00E84B6A">
        <w:rPr>
          <w:position w:val="-12"/>
        </w:rPr>
        <w:object w:dxaOrig="200" w:dyaOrig="360" w14:anchorId="12A81B02">
          <v:shape id="_x0000_i1124" type="#_x0000_t75" style="width:10.3pt;height:18.45pt" o:ole="" o:preferrelative="f">
            <v:imagedata r:id="rId197" o:title=""/>
            <o:lock v:ext="edit" aspectratio="f"/>
          </v:shape>
          <o:OLEObject Type="Embed" ProgID="Equation.DSMT4" ShapeID="_x0000_i1124" DrawAspect="Content" ObjectID="_1784383278" r:id="rId198"/>
        </w:object>
      </w:r>
      <w:r w:rsidRPr="00E84B6A">
        <w:t xml:space="preserve">, and leisure </w:t>
      </w:r>
      <w:r w:rsidR="00AE0F6B" w:rsidRPr="00E84B6A">
        <w:t xml:space="preserve">stop </w:t>
      </w:r>
      <w:r w:rsidRPr="00E84B6A">
        <w:t xml:space="preserve">count </w:t>
      </w:r>
      <w:r w:rsidR="009C5C94" w:rsidRPr="00E84B6A">
        <w:rPr>
          <w:position w:val="-12"/>
        </w:rPr>
        <w:object w:dxaOrig="220" w:dyaOrig="360" w14:anchorId="39048340">
          <v:shape id="_x0000_i1125" type="#_x0000_t75" style="width:10.7pt;height:18.45pt" o:ole="" o:preferrelative="f">
            <v:imagedata r:id="rId199" o:title=""/>
            <o:lock v:ext="edit" aspectratio="f"/>
          </v:shape>
          <o:OLEObject Type="Embed" ProgID="Equation.DSMT4" ShapeID="_x0000_i1125" DrawAspect="Content" ObjectID="_1784383279" r:id="rId200"/>
        </w:object>
      </w:r>
      <w:r w:rsidRPr="00E84B6A">
        <w:t xml:space="preserve">. </w:t>
      </w:r>
      <w:r w:rsidR="00277C7F" w:rsidRPr="00E84B6A">
        <w:t>Then, the marginal probabilities of maintenance and stop counts, conditional on teleworking arrangement</w:t>
      </w:r>
      <w:r w:rsidR="008266A6" w:rsidRPr="00E84B6A">
        <w:t xml:space="preserve"> </w:t>
      </w:r>
      <w:r w:rsidR="008266A6" w:rsidRPr="00E84B6A">
        <w:rPr>
          <w:i/>
          <w:iCs/>
        </w:rPr>
        <w:t>k</w:t>
      </w:r>
      <w:r w:rsidR="00277C7F" w:rsidRPr="00E84B6A">
        <w:t xml:space="preserve">, may be computed as follows:  </w:t>
      </w:r>
    </w:p>
    <w:p w14:paraId="295F1FC9" w14:textId="63A1106A" w:rsidR="00277C7F" w:rsidRPr="00E84B6A" w:rsidRDefault="009C5C94" w:rsidP="00E84B6A">
      <w:pPr>
        <w:pStyle w:val="whitespace-pre-wrap"/>
        <w:spacing w:before="0" w:beforeAutospacing="0" w:after="0" w:afterAutospacing="0"/>
      </w:pPr>
      <w:r w:rsidRPr="00E84B6A">
        <w:rPr>
          <w:position w:val="-64"/>
        </w:rPr>
        <w:object w:dxaOrig="5660" w:dyaOrig="1400" w14:anchorId="21432FCB">
          <v:shape id="_x0000_i1126" type="#_x0000_t75" style="width:283.3pt;height:69.45pt" o:ole="" o:preferrelative="f">
            <v:imagedata r:id="rId201" o:title=""/>
            <o:lock v:ext="edit" aspectratio="f"/>
          </v:shape>
          <o:OLEObject Type="Embed" ProgID="Equation.DSMT4" ShapeID="_x0000_i1126" DrawAspect="Content" ObjectID="_1784383280" r:id="rId202"/>
        </w:object>
      </w:r>
      <w:r w:rsidR="00277C7F" w:rsidRPr="00E84B6A">
        <w:tab/>
      </w:r>
      <w:r w:rsidR="00277C7F" w:rsidRPr="00E84B6A">
        <w:tab/>
      </w:r>
      <w:r w:rsidR="00277C7F" w:rsidRPr="00E84B6A">
        <w:tab/>
      </w:r>
      <w:r w:rsidR="00277C7F" w:rsidRPr="00E84B6A">
        <w:tab/>
      </w:r>
      <w:r w:rsidR="00277C7F" w:rsidRPr="00E84B6A">
        <w:tab/>
        <w:t xml:space="preserve">     (1</w:t>
      </w:r>
      <w:r w:rsidR="00300926" w:rsidRPr="00E84B6A">
        <w:t>2</w:t>
      </w:r>
      <w:r w:rsidR="00277C7F" w:rsidRPr="00E84B6A">
        <w:t>)</w:t>
      </w:r>
    </w:p>
    <w:p w14:paraId="4153290D" w14:textId="75C2D56C" w:rsidR="00277C7F" w:rsidRPr="00E84B6A" w:rsidRDefault="009C5C94" w:rsidP="009C5C94">
      <w:pPr>
        <w:pStyle w:val="whitespace-pre-wrap"/>
        <w:spacing w:before="60" w:beforeAutospacing="0" w:after="60" w:afterAutospacing="0"/>
      </w:pPr>
      <w:r w:rsidRPr="00E84B6A">
        <w:rPr>
          <w:position w:val="-64"/>
        </w:rPr>
        <w:object w:dxaOrig="5560" w:dyaOrig="1400" w14:anchorId="5592B2E9">
          <v:shape id="_x0000_i1127" type="#_x0000_t75" style="width:277.7pt;height:69.45pt" o:ole="" o:preferrelative="f">
            <v:imagedata r:id="rId203" o:title=""/>
            <o:lock v:ext="edit" aspectratio="f"/>
          </v:shape>
          <o:OLEObject Type="Embed" ProgID="Equation.DSMT4" ShapeID="_x0000_i1127" DrawAspect="Content" ObjectID="_1784383281" r:id="rId204"/>
        </w:object>
      </w:r>
      <w:r w:rsidR="00277C7F" w:rsidRPr="00E84B6A">
        <w:tab/>
      </w:r>
      <w:r w:rsidR="00277C7F" w:rsidRPr="00E84B6A">
        <w:tab/>
      </w:r>
      <w:r w:rsidR="00277C7F" w:rsidRPr="00E84B6A">
        <w:tab/>
      </w:r>
      <w:r w:rsidR="00277C7F" w:rsidRPr="00E84B6A">
        <w:tab/>
      </w:r>
      <w:r w:rsidR="00277C7F" w:rsidRPr="00E84B6A">
        <w:tab/>
        <w:t xml:space="preserve">     (1</w:t>
      </w:r>
      <w:r w:rsidR="00300926" w:rsidRPr="00E84B6A">
        <w:t>3</w:t>
      </w:r>
      <w:r w:rsidR="00277C7F" w:rsidRPr="00E84B6A">
        <w:t>)</w:t>
      </w:r>
    </w:p>
    <w:p w14:paraId="4527EC92" w14:textId="22A8F8D7" w:rsidR="00851079" w:rsidRPr="00E84B6A" w:rsidRDefault="00851079" w:rsidP="00E84B6A">
      <w:pPr>
        <w:pStyle w:val="whitespace-pre-wrap"/>
        <w:spacing w:before="0" w:beforeAutospacing="0" w:after="0" w:afterAutospacing="0"/>
        <w:jc w:val="both"/>
      </w:pPr>
      <w:r w:rsidRPr="00E84B6A">
        <w:t>The expected value for the number of maintenance and leisure stops</w:t>
      </w:r>
      <w:r w:rsidR="005E0C07" w:rsidRPr="00E84B6A">
        <w:t xml:space="preserve"> for individual </w:t>
      </w:r>
      <w:r w:rsidR="005E0C07" w:rsidRPr="00E84B6A">
        <w:rPr>
          <w:i/>
          <w:iCs/>
        </w:rPr>
        <w:t>q</w:t>
      </w:r>
      <w:r w:rsidR="008266A6" w:rsidRPr="00E84B6A">
        <w:t>, conditional on telework arrangement</w:t>
      </w:r>
      <w:r w:rsidRPr="00E84B6A">
        <w:t xml:space="preserve"> </w:t>
      </w:r>
      <w:r w:rsidR="008266A6" w:rsidRPr="00E84B6A">
        <w:t xml:space="preserve">level </w:t>
      </w:r>
      <w:r w:rsidR="008266A6" w:rsidRPr="00E84B6A">
        <w:rPr>
          <w:i/>
          <w:iCs/>
        </w:rPr>
        <w:t>k</w:t>
      </w:r>
      <w:r w:rsidR="008266A6" w:rsidRPr="00E84B6A">
        <w:t xml:space="preserve">, </w:t>
      </w:r>
      <w:r w:rsidRPr="00E84B6A">
        <w:t>is:</w:t>
      </w:r>
    </w:p>
    <w:p w14:paraId="27AB85A4" w14:textId="04F58734" w:rsidR="00851079" w:rsidRPr="00E84B6A" w:rsidRDefault="009C5C94" w:rsidP="009C5C94">
      <w:pPr>
        <w:pStyle w:val="whitespace-pre-wrap"/>
        <w:tabs>
          <w:tab w:val="right" w:pos="9360"/>
        </w:tabs>
        <w:spacing w:before="60" w:beforeAutospacing="0" w:after="60" w:afterAutospacing="0"/>
      </w:pPr>
      <w:r w:rsidRPr="00E84B6A">
        <w:rPr>
          <w:position w:val="-52"/>
        </w:rPr>
        <w:object w:dxaOrig="5020" w:dyaOrig="1160" w14:anchorId="1996D5B6">
          <v:shape id="_x0000_i1128" type="#_x0000_t75" style="width:251.55pt;height:57.85pt" o:ole="" o:preferrelative="f">
            <v:imagedata r:id="rId205" o:title=""/>
            <o:lock v:ext="edit" aspectratio="f"/>
          </v:shape>
          <o:OLEObject Type="Embed" ProgID="Equation.DSMT4" ShapeID="_x0000_i1128" DrawAspect="Content" ObjectID="_1784383282" r:id="rId206"/>
        </w:object>
      </w:r>
      <w:r w:rsidR="00646C55" w:rsidRPr="00E84B6A">
        <w:tab/>
        <w:t>(1</w:t>
      </w:r>
      <w:r w:rsidR="00300926" w:rsidRPr="00E84B6A">
        <w:t>4</w:t>
      </w:r>
      <w:r w:rsidR="00646C55" w:rsidRPr="00E84B6A">
        <w:t>)</w:t>
      </w:r>
    </w:p>
    <w:p w14:paraId="7A32ADEE" w14:textId="49E6934C" w:rsidR="00851079" w:rsidRPr="00E84B6A" w:rsidRDefault="009C5C94" w:rsidP="009C5C94">
      <w:pPr>
        <w:pStyle w:val="whitespace-pre-wrap"/>
        <w:tabs>
          <w:tab w:val="right" w:pos="9360"/>
        </w:tabs>
        <w:spacing w:before="60" w:beforeAutospacing="0" w:after="60" w:afterAutospacing="0"/>
      </w:pPr>
      <w:r w:rsidRPr="00E84B6A">
        <w:rPr>
          <w:position w:val="-52"/>
        </w:rPr>
        <w:object w:dxaOrig="4900" w:dyaOrig="1160" w14:anchorId="3AF128BC">
          <v:shape id="_x0000_i1129" type="#_x0000_t75" style="width:245.15pt;height:57.85pt" o:ole="" o:preferrelative="f">
            <v:imagedata r:id="rId207" o:title=""/>
            <o:lock v:ext="edit" aspectratio="f"/>
          </v:shape>
          <o:OLEObject Type="Embed" ProgID="Equation.DSMT4" ShapeID="_x0000_i1129" DrawAspect="Content" ObjectID="_1784383283" r:id="rId208"/>
        </w:object>
      </w:r>
      <w:r>
        <w:tab/>
      </w:r>
      <w:r w:rsidR="005E0C07" w:rsidRPr="00E84B6A">
        <w:t>(1</w:t>
      </w:r>
      <w:r w:rsidR="00300926" w:rsidRPr="00E84B6A">
        <w:t>5</w:t>
      </w:r>
      <w:r w:rsidR="005E0C07" w:rsidRPr="00E84B6A">
        <w:t>)</w:t>
      </w:r>
    </w:p>
    <w:p w14:paraId="2BAE4A07" w14:textId="3D6FE139" w:rsidR="007B2E65" w:rsidRPr="00E84B6A" w:rsidRDefault="00851079" w:rsidP="00E84B6A">
      <w:pPr>
        <w:pStyle w:val="whitespace-pre-wrap"/>
        <w:spacing w:before="0" w:beforeAutospacing="0" w:after="0" w:afterAutospacing="0"/>
        <w:jc w:val="both"/>
      </w:pPr>
      <w:r w:rsidRPr="00E84B6A">
        <w:t>We apply this procedure to calculate</w:t>
      </w:r>
      <w:r w:rsidR="00BE19EC" w:rsidRPr="00E84B6A">
        <w:t xml:space="preserve"> the </w:t>
      </w:r>
      <w:r w:rsidR="00FD1B71" w:rsidRPr="00E84B6A">
        <w:t>predicted</w:t>
      </w:r>
      <w:r w:rsidR="00BE19EC" w:rsidRPr="00E84B6A">
        <w:t xml:space="preserve"> value of nonwork stops, conditional on each telework level, </w:t>
      </w:r>
      <w:r w:rsidRPr="00E84B6A">
        <w:t xml:space="preserve">for </w:t>
      </w:r>
      <w:r w:rsidR="00FD1B71" w:rsidRPr="00E84B6A">
        <w:t xml:space="preserve">a specific state A for </w:t>
      </w:r>
      <w:r w:rsidR="001F29E2" w:rsidRPr="00E84B6A">
        <w:t xml:space="preserve">each </w:t>
      </w:r>
      <w:r w:rsidR="00FD1B71" w:rsidRPr="00E84B6A">
        <w:t xml:space="preserve">exogenous variable (say age&lt;35 years for the age variable) for individual </w:t>
      </w:r>
      <w:r w:rsidR="00FD1B71" w:rsidRPr="00E84B6A">
        <w:rPr>
          <w:i/>
          <w:iCs/>
        </w:rPr>
        <w:t>q</w:t>
      </w:r>
      <w:r w:rsidR="00FD1B71" w:rsidRPr="00E84B6A">
        <w:t xml:space="preserve"> (regardless of the actual age of the individual in the sample, but maintaining all other exogenous variables at the observed values in the sample). An average of the predicted values of nonwork stops, conditional on each telework level, across all individuals is then computed</w:t>
      </w:r>
      <w:r w:rsidR="00134836" w:rsidRPr="00E84B6A">
        <w:t>.</w:t>
      </w:r>
      <w:r w:rsidR="00FD1B71" w:rsidRPr="00E84B6A">
        <w:t xml:space="preserve"> </w:t>
      </w:r>
      <w:r w:rsidR="007B2E65" w:rsidRPr="00E84B6A">
        <w:t xml:space="preserve">Then, the state for the exogenous variable under consideration is changed to another state B (say age 55+ for the age variable), and the same procedure as above for state A is applied. </w:t>
      </w:r>
    </w:p>
    <w:p w14:paraId="13F5301B" w14:textId="4119E29D" w:rsidR="005C29FA" w:rsidRPr="00E84B6A" w:rsidRDefault="00CC3DF4" w:rsidP="00E84B6A">
      <w:pPr>
        <w:spacing w:after="0"/>
        <w:ind w:firstLine="720"/>
      </w:pPr>
      <w:r w:rsidRPr="00E84B6A">
        <w:t xml:space="preserve">The results are presented in Table </w:t>
      </w:r>
      <w:r w:rsidR="007B2E65" w:rsidRPr="00E84B6A">
        <w:t>8</w:t>
      </w:r>
      <w:r w:rsidRPr="00E84B6A">
        <w:t xml:space="preserve"> </w:t>
      </w:r>
      <w:r w:rsidR="007B2E65" w:rsidRPr="00E84B6A">
        <w:t>for selected exogenous variables</w:t>
      </w:r>
      <w:r w:rsidRPr="00E84B6A">
        <w:t xml:space="preserve">. </w:t>
      </w:r>
      <w:r w:rsidR="007B2E65" w:rsidRPr="00E84B6A">
        <w:t>Thus, for age</w:t>
      </w:r>
      <w:r w:rsidR="00134836" w:rsidRPr="00E84B6A">
        <w:t xml:space="preserve"> (see the second row panel of Table 8)</w:t>
      </w:r>
      <w:r w:rsidR="007B2E65" w:rsidRPr="00E84B6A">
        <w:t>, the numeric value of “3.65” under “expected number of stops” for “Maintenance stops” in the “Age</w:t>
      </w:r>
      <w:r w:rsidR="00E8360A" w:rsidRPr="00E84B6A">
        <w:t xml:space="preserve"> </w:t>
      </w:r>
      <w:r w:rsidR="007B2E65" w:rsidRPr="00E84B6A">
        <w:t xml:space="preserve">&lt;35 years” column indicates that, </w:t>
      </w:r>
      <w:r w:rsidR="005A1AA7" w:rsidRPr="00E84B6A">
        <w:t xml:space="preserve">if </w:t>
      </w:r>
      <w:r w:rsidR="007B2E65" w:rsidRPr="00E84B6A">
        <w:t>younger than 35 years</w:t>
      </w:r>
      <w:r w:rsidR="005A1AA7" w:rsidRPr="00E84B6A">
        <w:t xml:space="preserve"> and never teleworking, individuals </w:t>
      </w:r>
      <w:r w:rsidR="007B2E65" w:rsidRPr="00E84B6A">
        <w:t>would make</w:t>
      </w:r>
      <w:r w:rsidR="005A1AA7" w:rsidRPr="00E84B6A">
        <w:t>, on average,</w:t>
      </w:r>
      <w:r w:rsidR="007B2E65" w:rsidRPr="00E84B6A">
        <w:t xml:space="preserve"> 3.65 </w:t>
      </w:r>
      <w:r w:rsidR="005A1AA7" w:rsidRPr="00E84B6A">
        <w:t xml:space="preserve">weekly </w:t>
      </w:r>
      <w:r w:rsidR="007B2E65" w:rsidRPr="00E84B6A">
        <w:t>maintenance stops</w:t>
      </w:r>
      <w:r w:rsidR="005A1AA7" w:rsidRPr="00E84B6A">
        <w:t xml:space="preserve">. On the other hand, if younger than 35 years and teleworking but less than once a month, individuals would make, on average, 3.58 weekly maintenance stops (a drop of 2% from the “never” teleworking </w:t>
      </w:r>
      <w:r w:rsidR="00F12F8D" w:rsidRPr="00E84B6A">
        <w:t>level)</w:t>
      </w:r>
      <w:r w:rsidR="005A1AA7" w:rsidRPr="00E84B6A">
        <w:t xml:space="preserve">. Similarly, the numeric value of “4.08” under “expected number of stops” for “Maintenance stops” in the “Age 35-54 years” column indicates that, if aged 35-54 years and never teleworking, individuals would make, on average, 4.08 weekly maintenance stops and, if aged 35-54 years and teleworking </w:t>
      </w:r>
      <w:r w:rsidR="00F12F8D" w:rsidRPr="00E84B6A">
        <w:t>but less than once a month</w:t>
      </w:r>
      <w:r w:rsidR="005A1AA7" w:rsidRPr="00E84B6A">
        <w:t>, would make 4.0</w:t>
      </w:r>
      <w:r w:rsidR="00F12F8D" w:rsidRPr="00E84B6A">
        <w:t>0</w:t>
      </w:r>
      <w:r w:rsidR="005A1AA7" w:rsidRPr="00E84B6A">
        <w:t xml:space="preserve"> weekly maintenance stops</w:t>
      </w:r>
      <w:r w:rsidR="00F12F8D" w:rsidRPr="00E84B6A">
        <w:t xml:space="preserve"> (a drop of 2% again)</w:t>
      </w:r>
      <w:r w:rsidR="005A1AA7" w:rsidRPr="00E84B6A">
        <w:t xml:space="preserve">. Other entries may be similarly interpreted. </w:t>
      </w:r>
      <w:r w:rsidR="002F5177" w:rsidRPr="00E84B6A">
        <w:t>Assuming that the distance traveled to nonwork stops is not dependent on the number of stops, the percentage changes also correspond to changes in vehicle miles traveled (VMT</w:t>
      </w:r>
      <w:r w:rsidR="0094516F" w:rsidRPr="00E84B6A">
        <w:t>).</w:t>
      </w:r>
      <w:r w:rsidR="00BE552A" w:rsidRPr="00E84B6A">
        <w:t xml:space="preserve"> </w:t>
      </w:r>
    </w:p>
    <w:p w14:paraId="008FC792" w14:textId="14BD8100" w:rsidR="00E84B6A" w:rsidRPr="00E84B6A" w:rsidRDefault="00350FF3" w:rsidP="00E84B6A">
      <w:pPr>
        <w:spacing w:after="0"/>
        <w:ind w:firstLine="720"/>
      </w:pPr>
      <w:r w:rsidRPr="00E84B6A">
        <w:t xml:space="preserve">The results </w:t>
      </w:r>
      <w:r w:rsidR="00F12F8D" w:rsidRPr="00E84B6A">
        <w:t xml:space="preserve">generally </w:t>
      </w:r>
      <w:r w:rsidRPr="00E84B6A">
        <w:t xml:space="preserve">align with the discussion in </w:t>
      </w:r>
      <w:r w:rsidR="00F32611" w:rsidRPr="00E84B6A">
        <w:t>S</w:t>
      </w:r>
      <w:r w:rsidRPr="00E84B6A">
        <w:t xml:space="preserve">ection 4, </w:t>
      </w:r>
      <w:r w:rsidR="00F12F8D" w:rsidRPr="00E84B6A">
        <w:t xml:space="preserve">but enable </w:t>
      </w:r>
      <w:r w:rsidRPr="00E84B6A">
        <w:t>us to</w:t>
      </w:r>
      <w:r w:rsidR="00F12F8D" w:rsidRPr="00E84B6A">
        <w:t xml:space="preserve"> better understand the effects of different teleworking levels for different population subgroups. </w:t>
      </w:r>
      <w:r w:rsidRPr="00E84B6A">
        <w:t xml:space="preserve">We highlight key observations from the tables and discuss their implications under five broad topics: (1) The </w:t>
      </w:r>
      <w:r w:rsidR="00E84B6A">
        <w:t>I</w:t>
      </w:r>
      <w:r w:rsidR="005436E3" w:rsidRPr="00E84B6A">
        <w:t xml:space="preserve">nverted </w:t>
      </w:r>
      <w:r w:rsidRPr="00E84B6A">
        <w:t xml:space="preserve">U-Shape of Teleworks’ Impact on Nonwork Travel, (2) Maintenance </w:t>
      </w:r>
      <w:r w:rsidR="00C876E9" w:rsidRPr="00E84B6A">
        <w:t xml:space="preserve">Stop </w:t>
      </w:r>
      <w:r w:rsidR="005436E3" w:rsidRPr="00E84B6A">
        <w:t>Effects</w:t>
      </w:r>
      <w:r w:rsidRPr="00E84B6A">
        <w:t xml:space="preserve">, (3) Leisure </w:t>
      </w:r>
      <w:r w:rsidR="00C876E9" w:rsidRPr="00E84B6A">
        <w:t>Pursuits</w:t>
      </w:r>
      <w:r w:rsidRPr="00E84B6A">
        <w:t xml:space="preserve">: Teleworkers are Playing, (4) Challenges for Single Mothers, and (5) </w:t>
      </w:r>
      <w:r w:rsidR="00C876E9" w:rsidRPr="00E84B6A">
        <w:t>Employees in Zero-Vehicle Households</w:t>
      </w:r>
      <w:r w:rsidRPr="00E84B6A">
        <w:t>.</w:t>
      </w:r>
    </w:p>
    <w:p w14:paraId="2F86BAC8" w14:textId="16381524" w:rsidR="00350FF3" w:rsidRPr="00E84B6A" w:rsidRDefault="00350FF3" w:rsidP="00E84B6A">
      <w:pPr>
        <w:spacing w:after="0"/>
        <w:ind w:firstLine="720"/>
      </w:pPr>
      <w:r w:rsidRPr="00E84B6A">
        <w:t xml:space="preserve"> </w:t>
      </w:r>
    </w:p>
    <w:p w14:paraId="0D37CD57" w14:textId="6859C6D7" w:rsidR="005436DF" w:rsidRPr="00E84B6A" w:rsidRDefault="005436DF" w:rsidP="009C5C94">
      <w:pPr>
        <w:keepNext/>
        <w:keepLines/>
        <w:spacing w:after="0"/>
        <w:rPr>
          <w:u w:val="single"/>
        </w:rPr>
      </w:pPr>
      <w:r w:rsidRPr="00E84B6A">
        <w:rPr>
          <w:u w:val="single"/>
        </w:rPr>
        <w:lastRenderedPageBreak/>
        <w:t xml:space="preserve">The </w:t>
      </w:r>
      <w:r w:rsidR="00300926" w:rsidRPr="00E84B6A">
        <w:rPr>
          <w:u w:val="single"/>
        </w:rPr>
        <w:t>I</w:t>
      </w:r>
      <w:r w:rsidR="005436E3" w:rsidRPr="00E84B6A">
        <w:rPr>
          <w:u w:val="single"/>
        </w:rPr>
        <w:t xml:space="preserve">nverted </w:t>
      </w:r>
      <w:r w:rsidRPr="00E84B6A">
        <w:rPr>
          <w:u w:val="single"/>
        </w:rPr>
        <w:t>U-Shape of Teleworks’ Impact on Nonwork Travel</w:t>
      </w:r>
    </w:p>
    <w:p w14:paraId="3916973E" w14:textId="5DB6A566" w:rsidR="00C45218" w:rsidRPr="00E84B6A" w:rsidRDefault="00BC1733" w:rsidP="009C5C94">
      <w:pPr>
        <w:keepNext/>
        <w:keepLines/>
        <w:spacing w:after="0"/>
      </w:pPr>
      <w:r w:rsidRPr="00E84B6A">
        <w:t xml:space="preserve">Based on Table </w:t>
      </w:r>
      <w:r w:rsidR="00134836" w:rsidRPr="00E84B6A">
        <w:t>8</w:t>
      </w:r>
      <w:r w:rsidRPr="00E84B6A">
        <w:t>, it</w:t>
      </w:r>
      <w:r w:rsidR="00866914" w:rsidRPr="00E84B6A">
        <w:t xml:space="preserve"> i</w:t>
      </w:r>
      <w:r w:rsidRPr="00E84B6A">
        <w:t>s evident that telework does</w:t>
      </w:r>
      <w:r w:rsidR="005436E3" w:rsidRPr="00E84B6A">
        <w:t xml:space="preserve"> not</w:t>
      </w:r>
      <w:r w:rsidRPr="00E84B6A">
        <w:t xml:space="preserve"> show a straightforward </w:t>
      </w:r>
      <w:r w:rsidR="005436E3" w:rsidRPr="00E84B6A">
        <w:t xml:space="preserve">monotonic </w:t>
      </w:r>
      <w:r w:rsidRPr="00E84B6A">
        <w:t xml:space="preserve">effect on either maintenance or leisure stops. </w:t>
      </w:r>
      <w:r w:rsidR="005436E3" w:rsidRPr="00E84B6A">
        <w:t>Thus, r</w:t>
      </w:r>
      <w:r w:rsidRPr="00E84B6A">
        <w:t xml:space="preserve">ather than asking whether telework increases or decreases stop-making, </w:t>
      </w:r>
      <w:r w:rsidR="005436E3" w:rsidRPr="00E84B6A">
        <w:t xml:space="preserve">as is posed in much scientific literature, </w:t>
      </w:r>
      <w:r w:rsidRPr="00E84B6A">
        <w:t xml:space="preserve">the more pertinent question </w:t>
      </w:r>
      <w:r w:rsidR="005436E3" w:rsidRPr="00E84B6A">
        <w:t xml:space="preserve">appears to be </w:t>
      </w:r>
      <w:r w:rsidRPr="00E84B6A">
        <w:t>how the number of nonwork stops varies with teleworking intensity. In this study, we observe a</w:t>
      </w:r>
      <w:r w:rsidR="005436E3" w:rsidRPr="00E84B6A">
        <w:t>n inverted</w:t>
      </w:r>
      <w:r w:rsidRPr="00E84B6A">
        <w:t xml:space="preserve"> U-shaped curve in the effect of telework intensity, with the highest number of stops occurring when individuals telework </w:t>
      </w:r>
      <w:r w:rsidR="00062EC1" w:rsidRPr="00E84B6A">
        <w:t xml:space="preserve">at an intensity </w:t>
      </w:r>
      <w:r w:rsidR="008A2FF8" w:rsidRPr="00E84B6A">
        <w:t>of</w:t>
      </w:r>
      <w:r w:rsidR="00062EC1" w:rsidRPr="00E84B6A">
        <w:t xml:space="preserve"> </w:t>
      </w:r>
      <w:r w:rsidR="008A2FF8" w:rsidRPr="00E84B6A">
        <w:t xml:space="preserve">1-3 days a </w:t>
      </w:r>
      <w:r w:rsidRPr="00E84B6A">
        <w:t>month or one day per week</w:t>
      </w:r>
      <w:r w:rsidR="00721459" w:rsidRPr="00E84B6A">
        <w:t xml:space="preserve"> (this result is similar to that of Caldarola and Sorrell, 2022)</w:t>
      </w:r>
      <w:r w:rsidRPr="00E84B6A">
        <w:t xml:space="preserve">. </w:t>
      </w:r>
      <w:r w:rsidR="00FC1BDE" w:rsidRPr="00E84B6A">
        <w:t xml:space="preserve">However, there is also a secondary peak, especially for leisure stops, at 4 days per week of teleworking. </w:t>
      </w:r>
      <w:r w:rsidR="00062EC1" w:rsidRPr="00E84B6A">
        <w:t>Th</w:t>
      </w:r>
      <w:r w:rsidR="00FC1BDE" w:rsidRPr="00E84B6A">
        <w:t>ese</w:t>
      </w:r>
      <w:r w:rsidR="00062EC1" w:rsidRPr="00E84B6A">
        <w:t xml:space="preserve"> result</w:t>
      </w:r>
      <w:r w:rsidR="00FC1BDE" w:rsidRPr="00E84B6A">
        <w:t>s</w:t>
      </w:r>
      <w:r w:rsidR="00062EC1" w:rsidRPr="00E84B6A">
        <w:t xml:space="preserve"> ha</w:t>
      </w:r>
      <w:r w:rsidR="00FC1BDE" w:rsidRPr="00E84B6A">
        <w:t>ve</w:t>
      </w:r>
      <w:r w:rsidR="00062EC1" w:rsidRPr="00E84B6A">
        <w:t xml:space="preserve"> implications for both a traffic perspective as well as a broader quality of life perspective. </w:t>
      </w:r>
      <w:r w:rsidR="00062EC1" w:rsidRPr="00E84B6A">
        <w:rPr>
          <w:u w:val="single"/>
        </w:rPr>
        <w:t>From a traffic perspective</w:t>
      </w:r>
      <w:r w:rsidR="00062EC1" w:rsidRPr="00E84B6A">
        <w:t xml:space="preserve">, the results imply that, for every population subgroup, low levels of telework </w:t>
      </w:r>
      <w:r w:rsidR="00FC1BDE" w:rsidRPr="00E84B6A">
        <w:t>(one day per week or less</w:t>
      </w:r>
      <w:r w:rsidR="00F65F97" w:rsidRPr="00E84B6A">
        <w:t xml:space="preserve">, but </w:t>
      </w:r>
      <w:r w:rsidR="006160A9" w:rsidRPr="00E84B6A">
        <w:t>at least</w:t>
      </w:r>
      <w:r w:rsidR="00F65F97" w:rsidRPr="00E84B6A">
        <w:t xml:space="preserve"> once a month</w:t>
      </w:r>
      <w:r w:rsidR="00FC1BDE" w:rsidRPr="00E84B6A">
        <w:t xml:space="preserve">) </w:t>
      </w:r>
      <w:r w:rsidR="00062EC1" w:rsidRPr="00E84B6A">
        <w:t>can be expected to increase nonwork stops and VMT more so than not teleworking at all or teleworking</w:t>
      </w:r>
      <w:r w:rsidR="00FC1BDE" w:rsidRPr="00E84B6A">
        <w:t xml:space="preserve"> </w:t>
      </w:r>
      <w:r w:rsidR="00062EC1" w:rsidRPr="00E84B6A">
        <w:t>at high intensity levels. While it is likely that a good fraction of this increase in stop-making and VMT will occur during non-peak periods of the day, the net result will be higher wear and tear on the infrastructure (increasing maintenance costs) as well as higher mobile-source emissions (exacerbating air pollution problems).</w:t>
      </w:r>
      <w:r w:rsidR="00753B50" w:rsidRPr="00E84B6A">
        <w:t xml:space="preserve"> Besides, a recent finding by Asmussen et al. (2024</w:t>
      </w:r>
      <w:r w:rsidR="00AB236A">
        <w:t>a</w:t>
      </w:r>
      <w:r w:rsidR="00753B50" w:rsidRPr="00E84B6A">
        <w:t>) regarding teleworking effects on commute VMT has indicated that low levels of teleworking (teleworking once a week or less) actually leads to a higher overall monthly commute VMT</w:t>
      </w:r>
      <w:r w:rsidR="00E8360A" w:rsidRPr="00E84B6A">
        <w:t>. This implies</w:t>
      </w:r>
      <w:r w:rsidR="00753B50" w:rsidRPr="00E84B6A">
        <w:t xml:space="preserve"> a compounding (commute plus non-commute) VMT effect</w:t>
      </w:r>
      <w:r w:rsidR="00FC1BDE" w:rsidRPr="00E84B6A">
        <w:t xml:space="preserve"> at low telework intensity levels</w:t>
      </w:r>
      <w:r w:rsidR="00753B50" w:rsidRPr="00E84B6A">
        <w:t>,</w:t>
      </w:r>
      <w:r w:rsidR="00FC1BDE" w:rsidRPr="00E84B6A">
        <w:t xml:space="preserve"> </w:t>
      </w:r>
      <w:r w:rsidR="00753B50" w:rsidRPr="00E84B6A">
        <w:t>caution</w:t>
      </w:r>
      <w:r w:rsidR="00FC1BDE" w:rsidRPr="00E84B6A">
        <w:t xml:space="preserve">ing </w:t>
      </w:r>
      <w:r w:rsidR="00753B50" w:rsidRPr="00E84B6A">
        <w:t>against the consideration of low levels of telework as a tool for VMT reduction</w:t>
      </w:r>
      <w:r w:rsidR="00FC1BDE" w:rsidRPr="00E84B6A">
        <w:t xml:space="preserve">. In contrast, 2-3 days of telework or </w:t>
      </w:r>
      <w:r w:rsidR="00721459" w:rsidRPr="00E84B6A">
        <w:t xml:space="preserve">five or more days of teleworking </w:t>
      </w:r>
      <w:r w:rsidR="00062EC1" w:rsidRPr="00E84B6A">
        <w:t xml:space="preserve">result in slightly lower nonwork VMT generation compared to lower levels and </w:t>
      </w:r>
      <w:r w:rsidR="00721459" w:rsidRPr="00E84B6A">
        <w:t xml:space="preserve">2-3 days or more of telework </w:t>
      </w:r>
      <w:r w:rsidR="00062EC1" w:rsidRPr="00E84B6A">
        <w:t xml:space="preserve">also have lower </w:t>
      </w:r>
      <w:r w:rsidR="00721459" w:rsidRPr="00E84B6A">
        <w:t xml:space="preserve">commute </w:t>
      </w:r>
      <w:r w:rsidR="00062EC1" w:rsidRPr="00E84B6A">
        <w:t>VMT</w:t>
      </w:r>
      <w:r w:rsidR="00721459" w:rsidRPr="00E84B6A">
        <w:t xml:space="preserve"> (the latter </w:t>
      </w:r>
      <w:r w:rsidR="00062EC1" w:rsidRPr="00E84B6A">
        <w:t>as evaluated in Asmussen et al.</w:t>
      </w:r>
      <w:r w:rsidR="00721459" w:rsidRPr="00E84B6A">
        <w:t xml:space="preserve">, </w:t>
      </w:r>
      <w:r w:rsidR="00062EC1" w:rsidRPr="00E84B6A">
        <w:t>2024</w:t>
      </w:r>
      <w:r w:rsidR="00AB236A">
        <w:t>a</w:t>
      </w:r>
      <w:r w:rsidR="00062EC1" w:rsidRPr="00E84B6A">
        <w:t xml:space="preserve">). This suggests that moderate to high levels of home-based teleworking can effectively reduce overall VMT. Consequently, transportation planning agencies should consider incentivizing higher telework frequencies whenever feasible. Conversely, cities and state or federal labor agencies may find it beneficial to discourage employers from offering telework options that involve only a few days per month, as such limited teleworking can worsen congestion and increase VMT. </w:t>
      </w:r>
      <w:r w:rsidR="00721459" w:rsidRPr="00E84B6A">
        <w:rPr>
          <w:u w:val="single"/>
        </w:rPr>
        <w:t>From a quality-of-life perspective</w:t>
      </w:r>
      <w:r w:rsidR="00721459" w:rsidRPr="00E84B6A">
        <w:t xml:space="preserve">, </w:t>
      </w:r>
      <w:r w:rsidR="00134836" w:rsidRPr="00E84B6A">
        <w:t xml:space="preserve">though, </w:t>
      </w:r>
      <w:r w:rsidR="00721459" w:rsidRPr="00E84B6A">
        <w:t xml:space="preserve">if one interprets more leisure participation as a positive, the suggestion is that allowing for some, even if limited, teleworking </w:t>
      </w:r>
      <w:r w:rsidR="006074C1" w:rsidRPr="00E84B6A">
        <w:t xml:space="preserve">at </w:t>
      </w:r>
      <w:bookmarkStart w:id="18" w:name="_Hlk173138625"/>
      <w:r w:rsidR="006074C1" w:rsidRPr="00E84B6A">
        <w:t xml:space="preserve">levels of once a month or more </w:t>
      </w:r>
      <w:bookmarkEnd w:id="18"/>
      <w:r w:rsidR="00C45218" w:rsidRPr="00E84B6A">
        <w:t>enable employees to balance in-person work, remote work, and outside-of-home activities</w:t>
      </w:r>
      <w:r w:rsidR="00427157" w:rsidRPr="00E84B6A">
        <w:t xml:space="preserve"> better</w:t>
      </w:r>
      <w:r w:rsidR="00C45218" w:rsidRPr="00E84B6A">
        <w:t xml:space="preserve">, enhancing work-life balance without significantly reducing social or leisure engagements. Implementing </w:t>
      </w:r>
      <w:r w:rsidR="00427157" w:rsidRPr="00E84B6A">
        <w:t xml:space="preserve">such </w:t>
      </w:r>
      <w:r w:rsidR="00C45218" w:rsidRPr="00E84B6A">
        <w:t xml:space="preserve">flexible work policies that allow for weekly or biweekly telework can reduce commuting stress, increase personal time, and promote active lifestyles. This balance </w:t>
      </w:r>
      <w:r w:rsidR="00427157" w:rsidRPr="00E84B6A">
        <w:t xml:space="preserve">can </w:t>
      </w:r>
      <w:r w:rsidR="00C45218" w:rsidRPr="00E84B6A">
        <w:t>benefit individual mental and physical health, contributing to a healthier and happier workforce</w:t>
      </w:r>
      <w:r w:rsidR="00427157" w:rsidRPr="00E84B6A">
        <w:t>.</w:t>
      </w:r>
    </w:p>
    <w:p w14:paraId="270C6CEC" w14:textId="77777777" w:rsidR="00E84B6A" w:rsidRPr="00E84B6A" w:rsidRDefault="00E84B6A" w:rsidP="00E84B6A">
      <w:pPr>
        <w:spacing w:after="0"/>
      </w:pPr>
    </w:p>
    <w:p w14:paraId="699D134E" w14:textId="317C014B" w:rsidR="005436DF" w:rsidRPr="00E84B6A" w:rsidRDefault="005436DF" w:rsidP="00E84B6A">
      <w:pPr>
        <w:spacing w:after="0"/>
        <w:rPr>
          <w:u w:val="single"/>
        </w:rPr>
      </w:pPr>
      <w:r w:rsidRPr="00E84B6A">
        <w:rPr>
          <w:u w:val="single"/>
        </w:rPr>
        <w:t xml:space="preserve">Maintenance </w:t>
      </w:r>
      <w:r w:rsidR="00C876E9" w:rsidRPr="00E84B6A">
        <w:rPr>
          <w:u w:val="single"/>
        </w:rPr>
        <w:t xml:space="preserve">Stop </w:t>
      </w:r>
      <w:r w:rsidR="00A65510" w:rsidRPr="00E84B6A">
        <w:rPr>
          <w:u w:val="single"/>
        </w:rPr>
        <w:t>Effects</w:t>
      </w:r>
    </w:p>
    <w:p w14:paraId="49FA7F43" w14:textId="5C1DE001" w:rsidR="005436DF" w:rsidRPr="00E84B6A" w:rsidRDefault="005436DF" w:rsidP="00E84B6A">
      <w:pPr>
        <w:pStyle w:val="NormalWeb"/>
        <w:spacing w:before="0" w:beforeAutospacing="0" w:after="0" w:afterAutospacing="0"/>
        <w:jc w:val="both"/>
      </w:pPr>
      <w:r w:rsidRPr="00E84B6A">
        <w:t xml:space="preserve">The analysis of </w:t>
      </w:r>
      <w:r w:rsidR="00C876E9" w:rsidRPr="00E84B6A">
        <w:t xml:space="preserve">activity </w:t>
      </w:r>
      <w:r w:rsidRPr="00E84B6A">
        <w:t xml:space="preserve">patterns among different demographic groups reveals distinct trends in maintenance </w:t>
      </w:r>
      <w:r w:rsidR="00427157" w:rsidRPr="00E84B6A">
        <w:t xml:space="preserve">stops by </w:t>
      </w:r>
      <w:r w:rsidRPr="00E84B6A">
        <w:t xml:space="preserve">teleworking </w:t>
      </w:r>
      <w:r w:rsidR="00427157" w:rsidRPr="00E84B6A">
        <w:t>intensity</w:t>
      </w:r>
      <w:r w:rsidR="00C45218" w:rsidRPr="00E84B6A">
        <w:t>. Across all teleworking groups, s</w:t>
      </w:r>
      <w:r w:rsidRPr="00E84B6A">
        <w:t xml:space="preserve">ingle mothers, particularly those teleworking multiple times a month, demonstrate the highest frequency of maintenance </w:t>
      </w:r>
      <w:r w:rsidR="001F29E2" w:rsidRPr="00E84B6A">
        <w:t>stops</w:t>
      </w:r>
      <w:r w:rsidRPr="00E84B6A">
        <w:t xml:space="preserve"> during the week, ranging from 5.43 to 5.72 per week</w:t>
      </w:r>
      <w:r w:rsidR="00427157" w:rsidRPr="00E84B6A">
        <w:t xml:space="preserve"> (</w:t>
      </w:r>
      <w:r w:rsidRPr="00E84B6A">
        <w:t xml:space="preserve">nearly 1.5 more trips per week compared to the nearest </w:t>
      </w:r>
      <w:r w:rsidR="001F29E2" w:rsidRPr="00E84B6A">
        <w:t>stop</w:t>
      </w:r>
      <w:r w:rsidRPr="00E84B6A">
        <w:t xml:space="preserve"> generating group</w:t>
      </w:r>
      <w:r w:rsidR="00427157" w:rsidRPr="00E84B6A">
        <w:t>)</w:t>
      </w:r>
      <w:r w:rsidRPr="00E84B6A">
        <w:t xml:space="preserve">. On the other hand, those making the fewest number of maintenance </w:t>
      </w:r>
      <w:r w:rsidR="00427157" w:rsidRPr="00E84B6A">
        <w:t xml:space="preserve">stops </w:t>
      </w:r>
      <w:r w:rsidRPr="00E84B6A">
        <w:t xml:space="preserve">are </w:t>
      </w:r>
      <w:r w:rsidR="00134836" w:rsidRPr="00E84B6A">
        <w:t xml:space="preserve">individuals from </w:t>
      </w:r>
      <w:r w:rsidRPr="00E84B6A">
        <w:t>zero</w:t>
      </w:r>
      <w:r w:rsidR="00427157" w:rsidRPr="00E84B6A">
        <w:t>-</w:t>
      </w:r>
      <w:r w:rsidRPr="00E84B6A">
        <w:t>vehicle households, regardless of the telework pattern (ranging from 2.14 to 2.25 maintenance trips), wh</w:t>
      </w:r>
      <w:r w:rsidR="006074C1" w:rsidRPr="00E84B6A">
        <w:t>o</w:t>
      </w:r>
      <w:r w:rsidRPr="00E84B6A">
        <w:t xml:space="preserve"> make 1 or more </w:t>
      </w:r>
      <w:r w:rsidR="00C45218" w:rsidRPr="00E84B6A">
        <w:t xml:space="preserve">fewer </w:t>
      </w:r>
      <w:r w:rsidRPr="00E84B6A">
        <w:t xml:space="preserve">trips per week as compared to any other demographic group. </w:t>
      </w:r>
    </w:p>
    <w:p w14:paraId="29F104B5" w14:textId="7A73CA10" w:rsidR="005436DF" w:rsidRPr="00E84B6A" w:rsidRDefault="005436DF" w:rsidP="00E84B6A">
      <w:pPr>
        <w:pStyle w:val="NormalWeb"/>
        <w:spacing w:before="0" w:beforeAutospacing="0" w:after="120" w:afterAutospacing="0"/>
        <w:ind w:firstLine="720"/>
        <w:jc w:val="both"/>
      </w:pPr>
      <w:r w:rsidRPr="00E84B6A">
        <w:lastRenderedPageBreak/>
        <w:t xml:space="preserve">Regarding relative percent increases in maintenance </w:t>
      </w:r>
      <w:r w:rsidR="001F29E2" w:rsidRPr="00E84B6A">
        <w:t>stops</w:t>
      </w:r>
      <w:r w:rsidRPr="00E84B6A">
        <w:t xml:space="preserve"> during the work week compared to never teleworking, the most significant change across all teleworking groups occurs when transitioning from never teleworking to teleworking </w:t>
      </w:r>
      <w:r w:rsidR="006074C1" w:rsidRPr="00E84B6A">
        <w:t>1-3</w:t>
      </w:r>
      <w:r w:rsidRPr="00E84B6A">
        <w:t xml:space="preserve"> days a month</w:t>
      </w:r>
      <w:r w:rsidR="00C45218" w:rsidRPr="00E84B6A">
        <w:t>. The largest shift here is</w:t>
      </w:r>
      <w:r w:rsidRPr="00E84B6A">
        <w:t xml:space="preserve"> a 3.5% increase for households with three or more vehicles. To highlight the highest percent changes across each teleworking group, the overall most notable shifts, regardless of direction, are as follows:</w:t>
      </w:r>
    </w:p>
    <w:p w14:paraId="1E4E65A7" w14:textId="489971EF"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 xml:space="preserve">&lt;Monthly: </w:t>
      </w:r>
      <w:r w:rsidR="001F29E2" w:rsidRPr="00E84B6A">
        <w:rPr>
          <w:rFonts w:ascii="Times New Roman" w:hAnsi="Times New Roman"/>
          <w:sz w:val="24"/>
          <w:szCs w:val="24"/>
        </w:rPr>
        <w:t xml:space="preserve">zero-vehicle households </w:t>
      </w:r>
      <w:r w:rsidRPr="00E84B6A">
        <w:rPr>
          <w:rFonts w:ascii="Times New Roman" w:hAnsi="Times New Roman"/>
          <w:sz w:val="24"/>
          <w:szCs w:val="24"/>
        </w:rPr>
        <w:t>(-2.</w:t>
      </w:r>
      <w:r w:rsidR="001F29E2" w:rsidRPr="00E84B6A">
        <w:rPr>
          <w:rFonts w:ascii="Times New Roman" w:hAnsi="Times New Roman"/>
          <w:sz w:val="24"/>
          <w:szCs w:val="24"/>
        </w:rPr>
        <w:t>1</w:t>
      </w:r>
      <w:r w:rsidRPr="00E84B6A">
        <w:rPr>
          <w:rFonts w:ascii="Times New Roman" w:hAnsi="Times New Roman"/>
          <w:sz w:val="24"/>
          <w:szCs w:val="24"/>
        </w:rPr>
        <w:t>%)</w:t>
      </w:r>
    </w:p>
    <w:p w14:paraId="409E7F99" w14:textId="41B4C201" w:rsidR="005436DF" w:rsidRPr="00E84B6A" w:rsidRDefault="001F29E2"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1-3</w:t>
      </w:r>
      <w:r w:rsidR="005436DF" w:rsidRPr="00E84B6A">
        <w:rPr>
          <w:rFonts w:ascii="Times New Roman" w:hAnsi="Times New Roman"/>
          <w:sz w:val="24"/>
          <w:szCs w:val="24"/>
        </w:rPr>
        <w:t xml:space="preserve"> days/month: Employees from household with 3 or more vehicles </w:t>
      </w:r>
      <w:r w:rsidRPr="00E84B6A">
        <w:rPr>
          <w:rFonts w:ascii="Times New Roman" w:hAnsi="Times New Roman"/>
          <w:sz w:val="24"/>
          <w:szCs w:val="24"/>
        </w:rPr>
        <w:t xml:space="preserve">and those aged 55+ </w:t>
      </w:r>
      <w:r w:rsidR="005436DF" w:rsidRPr="00E84B6A">
        <w:rPr>
          <w:rFonts w:ascii="Times New Roman" w:hAnsi="Times New Roman"/>
          <w:sz w:val="24"/>
          <w:szCs w:val="24"/>
        </w:rPr>
        <w:t>(3.5%)</w:t>
      </w:r>
    </w:p>
    <w:p w14:paraId="1B91F8CF" w14:textId="77777777"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1 day/week: Single mothers (1.7%)</w:t>
      </w:r>
    </w:p>
    <w:p w14:paraId="4A02EA13" w14:textId="77777777"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2-3 days/week: Employees from vehicle-less households (-0.7%)</w:t>
      </w:r>
    </w:p>
    <w:p w14:paraId="6CDAC2AD" w14:textId="4E837495"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4 days/week: Single mothers (1.</w:t>
      </w:r>
      <w:r w:rsidR="001F29E2" w:rsidRPr="00E84B6A">
        <w:rPr>
          <w:rFonts w:ascii="Times New Roman" w:hAnsi="Times New Roman"/>
          <w:sz w:val="24"/>
          <w:szCs w:val="24"/>
        </w:rPr>
        <w:t>5</w:t>
      </w:r>
      <w:r w:rsidRPr="00E84B6A">
        <w:rPr>
          <w:rFonts w:ascii="Times New Roman" w:hAnsi="Times New Roman"/>
          <w:sz w:val="24"/>
          <w:szCs w:val="24"/>
        </w:rPr>
        <w:t>%)</w:t>
      </w:r>
    </w:p>
    <w:p w14:paraId="1F6B56A5" w14:textId="77777777"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5days/week:  Employees from vehicle-less households (-1.5%)</w:t>
      </w:r>
    </w:p>
    <w:p w14:paraId="7EC5A209" w14:textId="77777777" w:rsidR="00E84B6A" w:rsidRDefault="00E84B6A" w:rsidP="00E84B6A">
      <w:pPr>
        <w:pStyle w:val="NormalWeb"/>
        <w:spacing w:before="0" w:beforeAutospacing="0" w:after="0" w:afterAutospacing="0"/>
        <w:jc w:val="both"/>
      </w:pPr>
    </w:p>
    <w:p w14:paraId="19B37907" w14:textId="2250547A" w:rsidR="005436DF" w:rsidRPr="00E84B6A" w:rsidRDefault="00084190" w:rsidP="00E84B6A">
      <w:pPr>
        <w:pStyle w:val="NormalWeb"/>
        <w:spacing w:before="0" w:beforeAutospacing="0" w:after="0" w:afterAutospacing="0"/>
        <w:jc w:val="both"/>
      </w:pPr>
      <w:r w:rsidRPr="00E84B6A">
        <w:t xml:space="preserve">Overall, though, there is not too much shift in maintenance stops conditional on telework intensity. </w:t>
      </w:r>
      <w:r w:rsidR="003A107C" w:rsidRPr="00E84B6A">
        <w:t xml:space="preserve">Further, the shifts show rises and drops in stops for different telework intensities, suggesting that, in general, the relatively small effects on maintenance stops based on teleworking intensity gets even more tempered. </w:t>
      </w:r>
      <w:r w:rsidR="005436DF" w:rsidRPr="00E84B6A">
        <w:t xml:space="preserve">Therefore, unless a substantial number of employees shift to a single teleworking </w:t>
      </w:r>
      <w:r w:rsidR="003A107C" w:rsidRPr="00E84B6A">
        <w:t>intensity level</w:t>
      </w:r>
      <w:r w:rsidR="005436DF" w:rsidRPr="00E84B6A">
        <w:t>, it may be challenging to predict whether there will be a net increase or decrease in</w:t>
      </w:r>
      <w:r w:rsidR="003A107C" w:rsidRPr="00E84B6A">
        <w:t xml:space="preserve"> out</w:t>
      </w:r>
      <w:r w:rsidR="00E8360A" w:rsidRPr="00E84B6A">
        <w:t>side</w:t>
      </w:r>
      <w:r w:rsidR="003A107C" w:rsidRPr="00E84B6A">
        <w:t xml:space="preserve">-of-home </w:t>
      </w:r>
      <w:r w:rsidR="005436DF" w:rsidRPr="00E84B6A">
        <w:t>errands or appointments. This uncertainty complicates efforts to plan for infrastructure needs and traffic management, as planners cannot reliably forecast changes in travel behavior. To address this, planners might consider monitoring teleworking trends closely and developing flexible strategies that can adapt to varying levels of telework adoption.</w:t>
      </w:r>
    </w:p>
    <w:p w14:paraId="0B497BC8" w14:textId="77777777" w:rsidR="00E84B6A" w:rsidRPr="00E84B6A" w:rsidRDefault="00E84B6A" w:rsidP="00E84B6A">
      <w:pPr>
        <w:pStyle w:val="NormalWeb"/>
        <w:spacing w:before="0" w:beforeAutospacing="0" w:after="0" w:afterAutospacing="0"/>
        <w:jc w:val="both"/>
      </w:pPr>
    </w:p>
    <w:p w14:paraId="1536CA9A" w14:textId="77C2F958" w:rsidR="005436DF" w:rsidRPr="00E84B6A" w:rsidRDefault="005436DF" w:rsidP="00E84B6A">
      <w:pPr>
        <w:pStyle w:val="NormalWeb"/>
        <w:spacing w:before="0" w:beforeAutospacing="0" w:after="0" w:afterAutospacing="0"/>
        <w:jc w:val="both"/>
        <w:rPr>
          <w:u w:val="single"/>
        </w:rPr>
      </w:pPr>
      <w:r w:rsidRPr="00E84B6A">
        <w:rPr>
          <w:u w:val="single"/>
        </w:rPr>
        <w:t xml:space="preserve">Leisure </w:t>
      </w:r>
      <w:r w:rsidR="00C876E9" w:rsidRPr="00E84B6A">
        <w:rPr>
          <w:u w:val="single"/>
        </w:rPr>
        <w:t>Pursuits</w:t>
      </w:r>
      <w:r w:rsidRPr="00E84B6A">
        <w:rPr>
          <w:u w:val="single"/>
        </w:rPr>
        <w:t>: Telework</w:t>
      </w:r>
      <w:r w:rsidR="00584BDE" w:rsidRPr="00E84B6A">
        <w:rPr>
          <w:u w:val="single"/>
        </w:rPr>
        <w:t>er</w:t>
      </w:r>
      <w:r w:rsidRPr="00E84B6A">
        <w:rPr>
          <w:u w:val="single"/>
        </w:rPr>
        <w:t>s are Playin</w:t>
      </w:r>
      <w:r w:rsidR="00E8360A" w:rsidRPr="00E84B6A">
        <w:rPr>
          <w:u w:val="single"/>
        </w:rPr>
        <w:t>g</w:t>
      </w:r>
    </w:p>
    <w:p w14:paraId="72072D3D" w14:textId="02310872" w:rsidR="005436DF" w:rsidRPr="00E84B6A" w:rsidRDefault="005436DF" w:rsidP="00E84B6A">
      <w:pPr>
        <w:pStyle w:val="NormalWeb"/>
        <w:spacing w:before="0" w:beforeAutospacing="0" w:after="0" w:afterAutospacing="0"/>
        <w:jc w:val="both"/>
      </w:pPr>
      <w:r w:rsidRPr="00E84B6A">
        <w:t xml:space="preserve">Leisure travel, on the other hand, reveals much higher generation rates across teleworking groups </w:t>
      </w:r>
      <w:r w:rsidR="001F29E2" w:rsidRPr="00E84B6A">
        <w:t xml:space="preserve">with at least one day per month of teleworking </w:t>
      </w:r>
      <w:r w:rsidR="00341FDD" w:rsidRPr="00E84B6A">
        <w:t xml:space="preserve">relative to never teleworking, </w:t>
      </w:r>
      <w:r w:rsidRPr="00E84B6A">
        <w:t xml:space="preserve">and </w:t>
      </w:r>
      <w:r w:rsidR="00341FDD" w:rsidRPr="00E84B6A">
        <w:t xml:space="preserve">also shows </w:t>
      </w:r>
      <w:r w:rsidRPr="00E84B6A">
        <w:t xml:space="preserve">much larger fluctuations </w:t>
      </w:r>
      <w:bookmarkStart w:id="19" w:name="_Hlk173041909"/>
      <w:r w:rsidR="00341FDD" w:rsidRPr="00E84B6A">
        <w:t xml:space="preserve">across </w:t>
      </w:r>
      <w:r w:rsidRPr="00E84B6A">
        <w:t>teleworking</w:t>
      </w:r>
      <w:r w:rsidR="001F29E2" w:rsidRPr="00E84B6A">
        <w:t xml:space="preserve"> levels</w:t>
      </w:r>
      <w:r w:rsidRPr="00E84B6A">
        <w:t>, as compared to maintenance travel</w:t>
      </w:r>
      <w:bookmarkEnd w:id="19"/>
      <w:r w:rsidRPr="00E84B6A">
        <w:t>. Similar to maintenance travel, single mothers make the highest number of leisure trips per week, ranging from 5.78 to 6.75 during the work week. Th</w:t>
      </w:r>
      <w:r w:rsidR="001F29E2" w:rsidRPr="00E84B6A">
        <w:t xml:space="preserve">e increase </w:t>
      </w:r>
      <w:r w:rsidRPr="00E84B6A">
        <w:t xml:space="preserve"> </w:t>
      </w:r>
      <w:r w:rsidR="001F29E2" w:rsidRPr="00E84B6A">
        <w:t xml:space="preserve">in teleworking </w:t>
      </w:r>
      <w:r w:rsidRPr="00E84B6A">
        <w:t xml:space="preserve">is especially pronounced for single mothers teleworking </w:t>
      </w:r>
      <w:r w:rsidR="006074C1" w:rsidRPr="00E84B6A">
        <w:t xml:space="preserve">1-3 </w:t>
      </w:r>
      <w:r w:rsidRPr="00E84B6A">
        <w:t xml:space="preserve">days a month compared to any other demographic group. Across all telework groups, single mothers make nearly one more trip per week than the next closest demographic. This trend suggests that single mothers likely use leisure trips to access their support networks or for their children's activities. </w:t>
      </w:r>
      <w:r w:rsidR="00A50B12" w:rsidRPr="00E84B6A">
        <w:t xml:space="preserve">Following single mothers, the youngest employees </w:t>
      </w:r>
      <w:r w:rsidR="00134836" w:rsidRPr="00E84B6A">
        <w:t xml:space="preserve">(&lt;35 years </w:t>
      </w:r>
      <w:r w:rsidR="001B4481" w:rsidRPr="00E84B6A">
        <w:t>o</w:t>
      </w:r>
      <w:r w:rsidR="00134836" w:rsidRPr="00E84B6A">
        <w:t xml:space="preserve">f age) </w:t>
      </w:r>
      <w:r w:rsidR="00A50B12" w:rsidRPr="00E84B6A">
        <w:t xml:space="preserve">have the next highest rates of leisure </w:t>
      </w:r>
      <w:r w:rsidR="0071111E" w:rsidRPr="00E84B6A">
        <w:t xml:space="preserve">stop </w:t>
      </w:r>
      <w:r w:rsidR="00A50B12" w:rsidRPr="00E84B6A">
        <w:t>generation, ranging from 5.19 to 6.09 trips during the work week.</w:t>
      </w:r>
    </w:p>
    <w:p w14:paraId="185F7F50" w14:textId="4379D795" w:rsidR="005436DF" w:rsidRPr="00E84B6A" w:rsidRDefault="005436DF" w:rsidP="00E84B6A">
      <w:pPr>
        <w:pStyle w:val="NormalWeb"/>
        <w:spacing w:before="0" w:beforeAutospacing="0" w:after="0" w:afterAutospacing="0"/>
        <w:ind w:firstLine="720"/>
        <w:jc w:val="both"/>
      </w:pPr>
      <w:r w:rsidRPr="00E84B6A">
        <w:t xml:space="preserve">On the other hand, zero-vehicle households make the fewest number of workweek leisure </w:t>
      </w:r>
      <w:r w:rsidR="0071111E" w:rsidRPr="00E84B6A">
        <w:t>stop</w:t>
      </w:r>
      <w:r w:rsidRPr="00E84B6A">
        <w:t xml:space="preserve">s, ranging from 2.80 to 3.41 weekday trips. This is expected, as individuals without a vehicle have less independent mobility. Following this group are employees older than 55 and Black employees, who, while making fewer leisure </w:t>
      </w:r>
      <w:r w:rsidR="0071111E" w:rsidRPr="00E84B6A">
        <w:t>stop</w:t>
      </w:r>
      <w:r w:rsidRPr="00E84B6A">
        <w:t>s than other groups, still average nearly two more weekly trips than households without vehicles.</w:t>
      </w:r>
    </w:p>
    <w:p w14:paraId="22A3E72C" w14:textId="0C00171D" w:rsidR="005436DF" w:rsidRPr="00E84B6A" w:rsidRDefault="005436DF" w:rsidP="00E84B6A">
      <w:pPr>
        <w:pStyle w:val="NormalWeb"/>
        <w:spacing w:before="0" w:beforeAutospacing="0" w:after="120" w:afterAutospacing="0"/>
        <w:ind w:firstLine="720"/>
        <w:jc w:val="both"/>
      </w:pPr>
      <w:r w:rsidRPr="00E84B6A">
        <w:t xml:space="preserve">In terms of relative percent increases in leisure travel during the workweek compared to never teleworking, the most significant change across all teleworking groups is seen when shifting from never teleworking to teleworking </w:t>
      </w:r>
      <w:r w:rsidR="0076619E" w:rsidRPr="00E84B6A">
        <w:t xml:space="preserve">1-3 </w:t>
      </w:r>
      <w:r w:rsidRPr="00E84B6A">
        <w:t>days a month</w:t>
      </w:r>
      <w:r w:rsidR="00C45218" w:rsidRPr="00E84B6A">
        <w:t>. The largest shift here is a</w:t>
      </w:r>
      <w:r w:rsidRPr="00E84B6A">
        <w:t xml:space="preserve"> 16.2% increase </w:t>
      </w:r>
      <w:r w:rsidR="00C45218" w:rsidRPr="00E84B6A">
        <w:t xml:space="preserve">in leisure trip generation </w:t>
      </w:r>
      <w:r w:rsidRPr="00E84B6A">
        <w:t xml:space="preserve">for households without vehicles. To highlight the highest percent changes </w:t>
      </w:r>
      <w:r w:rsidRPr="00E84B6A">
        <w:lastRenderedPageBreak/>
        <w:t>across each teleworking group, the most notable overall shifts, regardless of direction, are as follows:</w:t>
      </w:r>
    </w:p>
    <w:p w14:paraId="04E844ED" w14:textId="28378D09"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&lt;Monthly</w:t>
      </w:r>
      <w:r w:rsidR="00242AD8" w:rsidRPr="00E84B6A">
        <w:rPr>
          <w:rFonts w:ascii="Times New Roman" w:hAnsi="Times New Roman"/>
          <w:sz w:val="24"/>
          <w:szCs w:val="24"/>
        </w:rPr>
        <w:t>: S</w:t>
      </w:r>
      <w:r w:rsidRPr="00E84B6A">
        <w:rPr>
          <w:rFonts w:ascii="Times New Roman" w:hAnsi="Times New Roman"/>
          <w:sz w:val="24"/>
          <w:szCs w:val="24"/>
        </w:rPr>
        <w:t>ingle mothers (-4.9%)</w:t>
      </w:r>
    </w:p>
    <w:p w14:paraId="5DA8E594" w14:textId="5123E6A4" w:rsidR="005436DF" w:rsidRPr="00E84B6A" w:rsidRDefault="00242AD8"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1-3</w:t>
      </w:r>
      <w:r w:rsidR="005436DF" w:rsidRPr="00E84B6A">
        <w:rPr>
          <w:rFonts w:ascii="Times New Roman" w:hAnsi="Times New Roman"/>
          <w:sz w:val="24"/>
          <w:szCs w:val="24"/>
        </w:rPr>
        <w:t xml:space="preserve"> days/month: Employees from </w:t>
      </w:r>
      <w:r w:rsidRPr="00E84B6A">
        <w:rPr>
          <w:rFonts w:ascii="Times New Roman" w:hAnsi="Times New Roman"/>
          <w:sz w:val="24"/>
          <w:szCs w:val="24"/>
        </w:rPr>
        <w:t>zero-</w:t>
      </w:r>
      <w:r w:rsidR="005436DF" w:rsidRPr="00E84B6A">
        <w:rPr>
          <w:rFonts w:ascii="Times New Roman" w:hAnsi="Times New Roman"/>
          <w:sz w:val="24"/>
          <w:szCs w:val="24"/>
        </w:rPr>
        <w:t>vehicle</w:t>
      </w:r>
      <w:r w:rsidRPr="00E84B6A">
        <w:rPr>
          <w:rFonts w:ascii="Times New Roman" w:hAnsi="Times New Roman"/>
          <w:sz w:val="24"/>
          <w:szCs w:val="24"/>
        </w:rPr>
        <w:t xml:space="preserve"> </w:t>
      </w:r>
      <w:r w:rsidR="005436DF" w:rsidRPr="00E84B6A">
        <w:rPr>
          <w:rFonts w:ascii="Times New Roman" w:hAnsi="Times New Roman"/>
          <w:sz w:val="24"/>
          <w:szCs w:val="24"/>
        </w:rPr>
        <w:t>households (16.2%)</w:t>
      </w:r>
    </w:p>
    <w:p w14:paraId="337C426C" w14:textId="695403CF"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 xml:space="preserve">1 day/week: Employees from </w:t>
      </w:r>
      <w:r w:rsidR="00242AD8" w:rsidRPr="00E84B6A">
        <w:rPr>
          <w:rFonts w:ascii="Times New Roman" w:hAnsi="Times New Roman"/>
          <w:sz w:val="24"/>
          <w:szCs w:val="24"/>
        </w:rPr>
        <w:t>zero-</w:t>
      </w:r>
      <w:r w:rsidRPr="00E84B6A">
        <w:rPr>
          <w:rFonts w:ascii="Times New Roman" w:hAnsi="Times New Roman"/>
          <w:sz w:val="24"/>
          <w:szCs w:val="24"/>
        </w:rPr>
        <w:t>vehicle</w:t>
      </w:r>
      <w:r w:rsidR="00242AD8" w:rsidRPr="00E84B6A">
        <w:rPr>
          <w:rFonts w:ascii="Times New Roman" w:hAnsi="Times New Roman"/>
          <w:sz w:val="24"/>
          <w:szCs w:val="24"/>
        </w:rPr>
        <w:t xml:space="preserve"> </w:t>
      </w:r>
      <w:r w:rsidRPr="00E84B6A">
        <w:rPr>
          <w:rFonts w:ascii="Times New Roman" w:hAnsi="Times New Roman"/>
          <w:sz w:val="24"/>
          <w:szCs w:val="24"/>
        </w:rPr>
        <w:t>households (9.4%)</w:t>
      </w:r>
    </w:p>
    <w:p w14:paraId="410CF30A" w14:textId="5722FB0F"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 xml:space="preserve">2-3 days/week: Employees from </w:t>
      </w:r>
      <w:r w:rsidR="00242AD8" w:rsidRPr="00E84B6A">
        <w:rPr>
          <w:rFonts w:ascii="Times New Roman" w:hAnsi="Times New Roman"/>
          <w:sz w:val="24"/>
          <w:szCs w:val="24"/>
        </w:rPr>
        <w:t>zero-</w:t>
      </w:r>
      <w:r w:rsidRPr="00E84B6A">
        <w:rPr>
          <w:rFonts w:ascii="Times New Roman" w:hAnsi="Times New Roman"/>
          <w:sz w:val="24"/>
          <w:szCs w:val="24"/>
        </w:rPr>
        <w:t>vehicle</w:t>
      </w:r>
      <w:r w:rsidR="00242AD8" w:rsidRPr="00E84B6A">
        <w:rPr>
          <w:rFonts w:ascii="Times New Roman" w:hAnsi="Times New Roman"/>
          <w:sz w:val="24"/>
          <w:szCs w:val="24"/>
        </w:rPr>
        <w:t xml:space="preserve"> </w:t>
      </w:r>
      <w:r w:rsidRPr="00E84B6A">
        <w:rPr>
          <w:rFonts w:ascii="Times New Roman" w:hAnsi="Times New Roman"/>
          <w:sz w:val="24"/>
          <w:szCs w:val="24"/>
        </w:rPr>
        <w:t>households (3.9%)</w:t>
      </w:r>
    </w:p>
    <w:p w14:paraId="28D49D40" w14:textId="740646A3"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 xml:space="preserve">4 days/week: Employees from </w:t>
      </w:r>
      <w:r w:rsidR="00242AD8" w:rsidRPr="00E84B6A">
        <w:rPr>
          <w:rFonts w:ascii="Times New Roman" w:hAnsi="Times New Roman"/>
          <w:sz w:val="24"/>
          <w:szCs w:val="24"/>
        </w:rPr>
        <w:t>zero-</w:t>
      </w:r>
      <w:r w:rsidRPr="00E84B6A">
        <w:rPr>
          <w:rFonts w:ascii="Times New Roman" w:hAnsi="Times New Roman"/>
          <w:sz w:val="24"/>
          <w:szCs w:val="24"/>
        </w:rPr>
        <w:t>vehicle</w:t>
      </w:r>
      <w:r w:rsidR="00242AD8" w:rsidRPr="00E84B6A">
        <w:rPr>
          <w:rFonts w:ascii="Times New Roman" w:hAnsi="Times New Roman"/>
          <w:sz w:val="24"/>
          <w:szCs w:val="24"/>
        </w:rPr>
        <w:t xml:space="preserve"> </w:t>
      </w:r>
      <w:r w:rsidRPr="00E84B6A">
        <w:rPr>
          <w:rFonts w:ascii="Times New Roman" w:hAnsi="Times New Roman"/>
          <w:sz w:val="24"/>
          <w:szCs w:val="24"/>
        </w:rPr>
        <w:t>households (9.7%)</w:t>
      </w:r>
    </w:p>
    <w:p w14:paraId="7FA17930" w14:textId="2FD0D367" w:rsidR="005436DF" w:rsidRPr="00E84B6A" w:rsidRDefault="005436DF" w:rsidP="00E84B6A">
      <w:pPr>
        <w:pStyle w:val="ListParagraph"/>
        <w:numPr>
          <w:ilvl w:val="0"/>
          <w:numId w:val="14"/>
        </w:numPr>
        <w:spacing w:after="0" w:line="240" w:lineRule="auto"/>
        <w:contextualSpacing w:val="0"/>
        <w:rPr>
          <w:rFonts w:ascii="Times New Roman" w:hAnsi="Times New Roman"/>
          <w:sz w:val="24"/>
          <w:szCs w:val="24"/>
        </w:rPr>
      </w:pPr>
      <w:r w:rsidRPr="00E84B6A">
        <w:rPr>
          <w:rFonts w:ascii="Times New Roman" w:hAnsi="Times New Roman"/>
          <w:sz w:val="24"/>
          <w:szCs w:val="24"/>
        </w:rPr>
        <w:t xml:space="preserve">5days/week:  Employees from </w:t>
      </w:r>
      <w:r w:rsidR="00242AD8" w:rsidRPr="00E84B6A">
        <w:rPr>
          <w:rFonts w:ascii="Times New Roman" w:hAnsi="Times New Roman"/>
          <w:sz w:val="24"/>
          <w:szCs w:val="24"/>
        </w:rPr>
        <w:t>zero-</w:t>
      </w:r>
      <w:r w:rsidRPr="00E84B6A">
        <w:rPr>
          <w:rFonts w:ascii="Times New Roman" w:hAnsi="Times New Roman"/>
          <w:sz w:val="24"/>
          <w:szCs w:val="24"/>
        </w:rPr>
        <w:t>vehicle</w:t>
      </w:r>
      <w:r w:rsidR="00242AD8" w:rsidRPr="00E84B6A">
        <w:rPr>
          <w:rFonts w:ascii="Times New Roman" w:hAnsi="Times New Roman"/>
          <w:sz w:val="24"/>
          <w:szCs w:val="24"/>
        </w:rPr>
        <w:t xml:space="preserve"> </w:t>
      </w:r>
      <w:r w:rsidRPr="00E84B6A">
        <w:rPr>
          <w:rFonts w:ascii="Times New Roman" w:hAnsi="Times New Roman"/>
          <w:sz w:val="24"/>
          <w:szCs w:val="24"/>
        </w:rPr>
        <w:t>households (5.1%)</w:t>
      </w:r>
    </w:p>
    <w:p w14:paraId="418EE768" w14:textId="77777777" w:rsidR="00E84B6A" w:rsidRDefault="00E84B6A" w:rsidP="00E84B6A">
      <w:pPr>
        <w:spacing w:after="0"/>
      </w:pPr>
    </w:p>
    <w:p w14:paraId="6799A30D" w14:textId="450A91F9" w:rsidR="00E84B6A" w:rsidRPr="00E84B6A" w:rsidRDefault="005436DF" w:rsidP="00E84B6A">
      <w:pPr>
        <w:spacing w:after="0"/>
      </w:pPr>
      <w:r w:rsidRPr="00E84B6A">
        <w:t xml:space="preserve">The percent increases for leisure travel when </w:t>
      </w:r>
      <w:r w:rsidR="005E1E07" w:rsidRPr="00E84B6A">
        <w:t>employees</w:t>
      </w:r>
      <w:r w:rsidRPr="00E84B6A">
        <w:t xml:space="preserve"> shift from never teleworking to a</w:t>
      </w:r>
      <w:r w:rsidR="00242AD8" w:rsidRPr="00E84B6A">
        <w:t>ny teleworking level of one or more days per month</w:t>
      </w:r>
      <w:r w:rsidRPr="00E84B6A">
        <w:t xml:space="preserve"> are nearly ten times as large as the increases for maintenance travel. It is evident that</w:t>
      </w:r>
      <w:r w:rsidR="0071111E" w:rsidRPr="00E84B6A">
        <w:t xml:space="preserve"> the number of leisure stops, conditional on teleworking level, reaches its peak </w:t>
      </w:r>
      <w:r w:rsidR="00257FC3" w:rsidRPr="00E84B6A">
        <w:t xml:space="preserve">at </w:t>
      </w:r>
      <w:r w:rsidRPr="00E84B6A">
        <w:t xml:space="preserve">teleworking </w:t>
      </w:r>
      <w:r w:rsidR="0076619E" w:rsidRPr="00E84B6A">
        <w:t xml:space="preserve">1-3 </w:t>
      </w:r>
      <w:r w:rsidRPr="00E84B6A">
        <w:t>days a month or more</w:t>
      </w:r>
      <w:r w:rsidR="0071111E" w:rsidRPr="00E84B6A">
        <w:t xml:space="preserve">. </w:t>
      </w:r>
      <w:r w:rsidRPr="00E84B6A">
        <w:t xml:space="preserve">This shift in work and travel behavior </w:t>
      </w:r>
      <w:r w:rsidR="00257FC3" w:rsidRPr="00E84B6A">
        <w:t xml:space="preserve">suggests </w:t>
      </w:r>
      <w:r w:rsidRPr="00E84B6A">
        <w:t>that teleworking</w:t>
      </w:r>
      <w:r w:rsidR="00257FC3" w:rsidRPr="00E84B6A">
        <w:t xml:space="preserve">, at low levels </w:t>
      </w:r>
      <w:r w:rsidR="00242AD8" w:rsidRPr="00E84B6A">
        <w:t xml:space="preserve">per month </w:t>
      </w:r>
      <w:r w:rsidR="00257FC3" w:rsidRPr="00E84B6A">
        <w:t xml:space="preserve">in particular, </w:t>
      </w:r>
      <w:r w:rsidRPr="00E84B6A">
        <w:t>supports work-life balance and encourages higher levels of leisure engagement. Teleworking provides greater control over schedules, enabling seamless integration of leisure activities into weekdays.</w:t>
      </w:r>
      <w:r w:rsidR="00CB327C" w:rsidRPr="00E84B6A">
        <w:t xml:space="preserve"> To reduce the resulting nonwork traffic engendered by teleworking, </w:t>
      </w:r>
      <w:r w:rsidR="00A50B12" w:rsidRPr="00E84B6A">
        <w:t xml:space="preserve">urban planners can implement neighborhood redesigns featuring mixed-use developments that seamlessly integrate residential, commercial, and recreational spaces. These live-work-play areas hold particular appeal for younger employees (under 34 years old), who are </w:t>
      </w:r>
      <w:r w:rsidR="00CB327C" w:rsidRPr="00E84B6A">
        <w:t xml:space="preserve">substantially </w:t>
      </w:r>
      <w:r w:rsidR="00A50B12" w:rsidRPr="00E84B6A">
        <w:t xml:space="preserve">engaged in leisure activities, as well as </w:t>
      </w:r>
      <w:r w:rsidR="00242AD8" w:rsidRPr="00E84B6A">
        <w:t xml:space="preserve">individuals in zero-vehicle </w:t>
      </w:r>
      <w:r w:rsidR="00A50B12" w:rsidRPr="00E84B6A">
        <w:t>household</w:t>
      </w:r>
      <w:r w:rsidR="00242AD8" w:rsidRPr="00E84B6A">
        <w:t xml:space="preserve">s who prefer </w:t>
      </w:r>
      <w:r w:rsidR="00A50B12" w:rsidRPr="00E84B6A">
        <w:t>closer proximity to various establishments</w:t>
      </w:r>
      <w:r w:rsidR="00B26733" w:rsidRPr="00E84B6A">
        <w:t xml:space="preserve">. </w:t>
      </w:r>
      <w:r w:rsidR="00A50B12" w:rsidRPr="00E84B6A">
        <w:t xml:space="preserve">Moreover, </w:t>
      </w:r>
      <w:r w:rsidR="00CB327C" w:rsidRPr="00E84B6A">
        <w:t>supplementing</w:t>
      </w:r>
      <w:r w:rsidR="00AA6DAA" w:rsidRPr="00E84B6A">
        <w:t>/retrofitting</w:t>
      </w:r>
      <w:r w:rsidR="00CB327C" w:rsidRPr="00E84B6A">
        <w:t xml:space="preserve"> </w:t>
      </w:r>
      <w:r w:rsidR="00A50B12" w:rsidRPr="00E84B6A">
        <w:t xml:space="preserve">residential areas with amenities </w:t>
      </w:r>
      <w:r w:rsidR="00AA6DAA" w:rsidRPr="00E84B6A">
        <w:t xml:space="preserve">such as </w:t>
      </w:r>
      <w:r w:rsidR="00A50B12" w:rsidRPr="00E84B6A">
        <w:t xml:space="preserve">parks, fitness centers, and social spaces supports teleworkers in spending more time locally. This is especially beneficial for employees without a car, as they can easily access these facilities on foot. </w:t>
      </w:r>
      <w:r w:rsidR="00AA6DAA" w:rsidRPr="00E84B6A">
        <w:t xml:space="preserve">Such a </w:t>
      </w:r>
      <w:r w:rsidR="00A50B12" w:rsidRPr="00E84B6A">
        <w:t xml:space="preserve">comprehensive urban planning strategy </w:t>
      </w:r>
      <w:r w:rsidR="00AA6DAA" w:rsidRPr="00E84B6A">
        <w:t xml:space="preserve">can </w:t>
      </w:r>
      <w:r w:rsidR="00A50B12" w:rsidRPr="00E84B6A">
        <w:t>not only foster sustainability and livability</w:t>
      </w:r>
      <w:r w:rsidR="00AA6DAA" w:rsidRPr="00E84B6A">
        <w:t>,</w:t>
      </w:r>
      <w:r w:rsidR="00A50B12" w:rsidRPr="00E84B6A">
        <w:t xml:space="preserve"> but also </w:t>
      </w:r>
      <w:r w:rsidR="00AA6DAA" w:rsidRPr="00E84B6A">
        <w:t xml:space="preserve">alleviate traffic </w:t>
      </w:r>
      <w:r w:rsidR="00A50B12" w:rsidRPr="00E84B6A">
        <w:t>congestion.</w:t>
      </w:r>
    </w:p>
    <w:p w14:paraId="0CF7E8F6" w14:textId="3CF394A0" w:rsidR="00A50B12" w:rsidRPr="00E84B6A" w:rsidRDefault="00A50B12" w:rsidP="00E84B6A">
      <w:pPr>
        <w:spacing w:after="0"/>
      </w:pPr>
      <w:r w:rsidRPr="00E84B6A">
        <w:t xml:space="preserve"> </w:t>
      </w:r>
    </w:p>
    <w:p w14:paraId="671789DB" w14:textId="206386F5" w:rsidR="00DA2234" w:rsidRPr="00E84B6A" w:rsidRDefault="00DA2234" w:rsidP="00E84B6A">
      <w:pPr>
        <w:spacing w:after="0"/>
        <w:rPr>
          <w:u w:val="single"/>
        </w:rPr>
      </w:pPr>
      <w:r w:rsidRPr="00E84B6A">
        <w:rPr>
          <w:u w:val="single"/>
        </w:rPr>
        <w:t>Challenges for Single Mothers</w:t>
      </w:r>
    </w:p>
    <w:p w14:paraId="2B470D91" w14:textId="429186BA" w:rsidR="00DA2234" w:rsidRPr="00E84B6A" w:rsidRDefault="004653FD" w:rsidP="00E84B6A">
      <w:pPr>
        <w:spacing w:after="0"/>
      </w:pPr>
      <w:r w:rsidRPr="00E84B6A">
        <w:t>S</w:t>
      </w:r>
      <w:r w:rsidR="00A50B12" w:rsidRPr="00E84B6A">
        <w:t xml:space="preserve">ingle mothers show the highest overall number of both maintenance and leisure </w:t>
      </w:r>
      <w:r w:rsidR="00242AD8" w:rsidRPr="00E84B6A">
        <w:t>stops</w:t>
      </w:r>
      <w:r w:rsidR="00A50B12" w:rsidRPr="00E84B6A">
        <w:t xml:space="preserve"> during the week compared to any other demographic group</w:t>
      </w:r>
      <w:r w:rsidRPr="00E84B6A">
        <w:t xml:space="preserve">. But </w:t>
      </w:r>
      <w:r w:rsidR="00A50B12" w:rsidRPr="00E84B6A">
        <w:t xml:space="preserve">these trends become more nuanced when examining the percent changes in nonwork </w:t>
      </w:r>
      <w:r w:rsidR="00AA6DAA" w:rsidRPr="00E84B6A">
        <w:t>stops between “never teleworking” single mothers and other single mothers</w:t>
      </w:r>
      <w:r w:rsidRPr="00E84B6A">
        <w:t xml:space="preserve">, presumably arising from </w:t>
      </w:r>
      <w:r w:rsidR="00A50B12" w:rsidRPr="00E84B6A">
        <w:t xml:space="preserve">the unique responsibilities single mothers face in providing, caring for, and entertaining their children. </w:t>
      </w:r>
      <w:r w:rsidR="00A01AFB" w:rsidRPr="00E84B6A">
        <w:t xml:space="preserve">For instance, </w:t>
      </w:r>
      <w:r w:rsidR="00A50B12" w:rsidRPr="00E84B6A">
        <w:t>s</w:t>
      </w:r>
      <w:r w:rsidR="006221E3" w:rsidRPr="00E84B6A">
        <w:t xml:space="preserve">ingle mothers show the highest percentage increase in maintenance </w:t>
      </w:r>
      <w:r w:rsidR="00A01AFB" w:rsidRPr="00E84B6A">
        <w:t xml:space="preserve">stop </w:t>
      </w:r>
      <w:r w:rsidR="006221E3" w:rsidRPr="00E84B6A">
        <w:t>generation when transitioning from no telework to anywhere from 1 day a week to 4 days a week</w:t>
      </w:r>
      <w:r w:rsidR="00DA2234" w:rsidRPr="00E84B6A">
        <w:t>, relative to non-mothers and men</w:t>
      </w:r>
      <w:r w:rsidR="00A81573" w:rsidRPr="00E84B6A">
        <w:t xml:space="preserve">. </w:t>
      </w:r>
      <w:r w:rsidRPr="00E84B6A">
        <w:t xml:space="preserve">But </w:t>
      </w:r>
      <w:r w:rsidR="006221E3" w:rsidRPr="00E84B6A">
        <w:t xml:space="preserve">single mothers </w:t>
      </w:r>
      <w:r w:rsidRPr="00E84B6A">
        <w:t xml:space="preserve">also </w:t>
      </w:r>
      <w:r w:rsidR="006221E3" w:rsidRPr="00E84B6A">
        <w:t xml:space="preserve">exhibit the smallest percentage change in leisure </w:t>
      </w:r>
      <w:r w:rsidR="00A01AFB" w:rsidRPr="00E84B6A">
        <w:t xml:space="preserve">stops </w:t>
      </w:r>
      <w:r w:rsidR="006221E3" w:rsidRPr="00E84B6A">
        <w:t xml:space="preserve">when transitioning from not teleworking to any telework frequency </w:t>
      </w:r>
      <w:r w:rsidR="00242AD8" w:rsidRPr="00E84B6A">
        <w:t>level of one day per month o</w:t>
      </w:r>
      <w:r w:rsidR="00392B23" w:rsidRPr="00E84B6A">
        <w:t>r</w:t>
      </w:r>
      <w:r w:rsidR="00242AD8" w:rsidRPr="00E84B6A">
        <w:t xml:space="preserve"> more</w:t>
      </w:r>
      <w:r w:rsidR="006221E3" w:rsidRPr="00E84B6A">
        <w:t xml:space="preserve">, compared to the other two gendered lifecycle groups. </w:t>
      </w:r>
    </w:p>
    <w:p w14:paraId="204EA241" w14:textId="0C111D44" w:rsidR="00DA2234" w:rsidRPr="00E84B6A" w:rsidRDefault="00E37C19" w:rsidP="00E84B6A">
      <w:pPr>
        <w:spacing w:after="0"/>
        <w:ind w:firstLine="720"/>
      </w:pPr>
      <w:r w:rsidRPr="00E84B6A">
        <w:t xml:space="preserve">The results above indicate that teleworking </w:t>
      </w:r>
      <w:r w:rsidR="00DA2234" w:rsidRPr="00E84B6A">
        <w:t>single mothers</w:t>
      </w:r>
      <w:r w:rsidR="00A65510" w:rsidRPr="00E84B6A">
        <w:t xml:space="preserve">, in general, appear to invest the time savings from teleworking more to </w:t>
      </w:r>
      <w:r w:rsidR="00DA2234" w:rsidRPr="00E84B6A">
        <w:t>managing household tasks and errands</w:t>
      </w:r>
      <w:r w:rsidR="00A65510" w:rsidRPr="00E84B6A">
        <w:t xml:space="preserve"> (relative to other demographic groups)</w:t>
      </w:r>
      <w:r w:rsidR="00DA2234" w:rsidRPr="00E84B6A">
        <w:t xml:space="preserve">, </w:t>
      </w:r>
      <w:r w:rsidR="00A65510" w:rsidRPr="00E84B6A">
        <w:t xml:space="preserve">but invest less </w:t>
      </w:r>
      <w:r w:rsidR="004653FD" w:rsidRPr="00E84B6A">
        <w:t xml:space="preserve">of the </w:t>
      </w:r>
      <w:r w:rsidR="00A65510" w:rsidRPr="00E84B6A">
        <w:t xml:space="preserve">saved time on leisure pursuits. </w:t>
      </w:r>
      <w:r w:rsidR="00DA2234" w:rsidRPr="00E84B6A">
        <w:t>This disparity highlights socio-economic and lifestyle challenges unique to single mothers, who face time and financial constraints that limit their ability to engage in leisure travel</w:t>
      </w:r>
      <w:r w:rsidR="00A65510" w:rsidRPr="00E84B6A">
        <w:t xml:space="preserve">, </w:t>
      </w:r>
      <w:r w:rsidR="004653FD" w:rsidRPr="00E84B6A">
        <w:t xml:space="preserve">with potentially downstream </w:t>
      </w:r>
      <w:r w:rsidR="00DA2234" w:rsidRPr="00E84B6A">
        <w:t>mental fatigue and reduced job satisfaction</w:t>
      </w:r>
      <w:r w:rsidR="004653FD" w:rsidRPr="00E84B6A">
        <w:t xml:space="preserve"> effects</w:t>
      </w:r>
      <w:r w:rsidR="00DA2234" w:rsidRPr="00E84B6A">
        <w:t xml:space="preserve">. Additionally, the inability to engage in leisure activities may diminish their sense of fulfillment and happiness in parenting, as they may feel unable to adequately recharge and balance their responsibilities. Addressing these challenges with </w:t>
      </w:r>
      <w:r w:rsidR="00DA2234" w:rsidRPr="00E84B6A">
        <w:lastRenderedPageBreak/>
        <w:t>supportive teleworking policies and resources tailored to single mothers' needs</w:t>
      </w:r>
      <w:r w:rsidR="009C0686" w:rsidRPr="00E84B6A">
        <w:t xml:space="preserve"> would be helpf</w:t>
      </w:r>
      <w:r w:rsidR="004653FD" w:rsidRPr="00E84B6A">
        <w:t>ul</w:t>
      </w:r>
      <w:r w:rsidR="009C0686" w:rsidRPr="00E84B6A">
        <w:t xml:space="preserve">, </w:t>
      </w:r>
      <w:r w:rsidR="00036130" w:rsidRPr="00E84B6A">
        <w:t>includ</w:t>
      </w:r>
      <w:r w:rsidR="009C0686" w:rsidRPr="00E84B6A">
        <w:t>ing</w:t>
      </w:r>
      <w:r w:rsidR="00036130" w:rsidRPr="00E84B6A">
        <w:t xml:space="preserve"> offering increased access to college savings plans and programs, incentivizing policies that provide more paid time off, and providing corporate discounts for childcare services.</w:t>
      </w:r>
    </w:p>
    <w:p w14:paraId="079C70A1" w14:textId="77777777" w:rsidR="00E84B6A" w:rsidRPr="00E84B6A" w:rsidRDefault="00E84B6A" w:rsidP="00E84B6A">
      <w:pPr>
        <w:spacing w:after="0"/>
      </w:pPr>
    </w:p>
    <w:p w14:paraId="5B34CB40" w14:textId="21393109" w:rsidR="00013CB8" w:rsidRPr="00E84B6A" w:rsidRDefault="00C876E9" w:rsidP="00E84B6A">
      <w:pPr>
        <w:spacing w:after="0"/>
        <w:rPr>
          <w:u w:val="single"/>
        </w:rPr>
      </w:pPr>
      <w:r w:rsidRPr="00E84B6A">
        <w:rPr>
          <w:u w:val="single"/>
        </w:rPr>
        <w:t>Employees in Zero-Vehicle Households</w:t>
      </w:r>
    </w:p>
    <w:p w14:paraId="3100DF81" w14:textId="63EA59C5" w:rsidR="007B1AFC" w:rsidRPr="00E84B6A" w:rsidRDefault="00C876E9" w:rsidP="00E84B6A">
      <w:pPr>
        <w:spacing w:after="0"/>
      </w:pPr>
      <w:r w:rsidRPr="00E84B6A">
        <w:t>Employees in z</w:t>
      </w:r>
      <w:r w:rsidR="004653FD" w:rsidRPr="00E84B6A">
        <w:t>ero-v</w:t>
      </w:r>
      <w:r w:rsidR="007B1AFC" w:rsidRPr="00E84B6A">
        <w:t>ehicle</w:t>
      </w:r>
      <w:r w:rsidR="004653FD" w:rsidRPr="00E84B6A">
        <w:t xml:space="preserve"> </w:t>
      </w:r>
      <w:r w:rsidR="007B1AFC" w:rsidRPr="00E84B6A">
        <w:t xml:space="preserve">households experience the highest increase in leisure </w:t>
      </w:r>
      <w:r w:rsidRPr="00E84B6A">
        <w:t xml:space="preserve">pursuits </w:t>
      </w:r>
      <w:r w:rsidR="00082056" w:rsidRPr="00E84B6A">
        <w:t xml:space="preserve">conditional on </w:t>
      </w:r>
      <w:r w:rsidR="007B1AFC" w:rsidRPr="00E84B6A">
        <w:t xml:space="preserve">teleworking </w:t>
      </w:r>
      <w:r w:rsidR="00082056" w:rsidRPr="00E84B6A">
        <w:t xml:space="preserve">at </w:t>
      </w:r>
      <w:r w:rsidR="00242AD8" w:rsidRPr="00E84B6A">
        <w:t xml:space="preserve">a </w:t>
      </w:r>
      <w:r w:rsidR="00082056" w:rsidRPr="00E84B6A">
        <w:t xml:space="preserve">level </w:t>
      </w:r>
      <w:r w:rsidR="00242AD8" w:rsidRPr="00E84B6A">
        <w:t xml:space="preserve">of at least once a month </w:t>
      </w:r>
      <w:r w:rsidRPr="00E84B6A">
        <w:t>(relative to employees who never telework)</w:t>
      </w:r>
      <w:r w:rsidR="007B1AFC" w:rsidRPr="00E84B6A">
        <w:t>. However, since these households lack cars, their leisure</w:t>
      </w:r>
      <w:r w:rsidR="004653FD" w:rsidRPr="00E84B6A">
        <w:t xml:space="preserve"> stops </w:t>
      </w:r>
      <w:r w:rsidR="007B1AFC" w:rsidRPr="00E84B6A">
        <w:t xml:space="preserve">are likely </w:t>
      </w:r>
      <w:r w:rsidR="004653FD" w:rsidRPr="00E84B6A">
        <w:t xml:space="preserve">undertaken by </w:t>
      </w:r>
      <w:r w:rsidR="007B1AFC" w:rsidRPr="00E84B6A">
        <w:t xml:space="preserve">foot or by bike, through carpooling with family and friends, or by using ride-sharing services. </w:t>
      </w:r>
      <w:r w:rsidR="00134836" w:rsidRPr="00E84B6A">
        <w:t>Thus, e</w:t>
      </w:r>
      <w:r w:rsidR="007B1AFC" w:rsidRPr="00E84B6A">
        <w:t>ncouraging more households to become zero-car households</w:t>
      </w:r>
      <w:r w:rsidR="004653FD" w:rsidRPr="00E84B6A">
        <w:t xml:space="preserve"> </w:t>
      </w:r>
      <w:r w:rsidR="007B1AFC" w:rsidRPr="00E84B6A">
        <w:t xml:space="preserve">can alleviate </w:t>
      </w:r>
      <w:r w:rsidR="004653FD" w:rsidRPr="00E84B6A">
        <w:t xml:space="preserve">traffic </w:t>
      </w:r>
      <w:r w:rsidR="007B1AFC" w:rsidRPr="00E84B6A">
        <w:t>congestion on roads and improve overall traffic conditions</w:t>
      </w:r>
      <w:r w:rsidR="00082056" w:rsidRPr="00E84B6A">
        <w:t>, while also</w:t>
      </w:r>
      <w:r w:rsidR="007B1AFC" w:rsidRPr="00E84B6A">
        <w:t xml:space="preserve"> </w:t>
      </w:r>
      <w:r w:rsidR="00082056" w:rsidRPr="00E84B6A">
        <w:t xml:space="preserve">opening up active </w:t>
      </w:r>
      <w:r w:rsidR="007B1AFC" w:rsidRPr="00E84B6A">
        <w:t>leisure opportunities for individuals, fostering more frequent social interactions</w:t>
      </w:r>
      <w:r w:rsidR="00082056" w:rsidRPr="00E84B6A">
        <w:t>,</w:t>
      </w:r>
      <w:r w:rsidR="007B1AFC" w:rsidRPr="00E84B6A">
        <w:t xml:space="preserve"> and contributing to overall happiness and well-being</w:t>
      </w:r>
      <w:r w:rsidRPr="00E84B6A">
        <w:t xml:space="preserve">, as indicated by </w:t>
      </w:r>
      <w:r w:rsidR="00DC0E1D" w:rsidRPr="00E84B6A">
        <w:t>(</w:t>
      </w:r>
      <w:bookmarkStart w:id="20" w:name="bb0105"/>
      <w:r w:rsidR="00DC0E1D" w:rsidRPr="00E84B6A">
        <w:rPr>
          <w:rStyle w:val="anchor-text"/>
        </w:rPr>
        <w:t>Deka, 2017</w:t>
      </w:r>
      <w:bookmarkStart w:id="21" w:name="bb0170"/>
      <w:bookmarkEnd w:id="20"/>
      <w:r w:rsidR="00DC0E1D" w:rsidRPr="00E84B6A">
        <w:t xml:space="preserve">; </w:t>
      </w:r>
      <w:r w:rsidR="00DC0E1D" w:rsidRPr="00E84B6A">
        <w:rPr>
          <w:rStyle w:val="anchor-text"/>
        </w:rPr>
        <w:t>Goetzke and Rave, 2015</w:t>
      </w:r>
      <w:bookmarkStart w:id="22" w:name="bb0270"/>
      <w:bookmarkEnd w:id="21"/>
      <w:r w:rsidR="00477D19" w:rsidRPr="00E84B6A">
        <w:t xml:space="preserve">; </w:t>
      </w:r>
      <w:r w:rsidR="00DC0E1D" w:rsidRPr="00E84B6A">
        <w:rPr>
          <w:rStyle w:val="anchor-text"/>
        </w:rPr>
        <w:t>Morris et al., 2020</w:t>
      </w:r>
      <w:bookmarkEnd w:id="22"/>
      <w:r w:rsidRPr="00E84B6A">
        <w:t>)</w:t>
      </w:r>
      <w:r w:rsidR="007B1AFC" w:rsidRPr="00E84B6A">
        <w:t>. Municipalities can support this transition by investing in infrastructure that supports alternative transportation, implementing policies that</w:t>
      </w:r>
      <w:r w:rsidR="00082056" w:rsidRPr="00E84B6A">
        <w:t xml:space="preserve"> create livable, walkable communities with access to amenities and recreational spaces, </w:t>
      </w:r>
      <w:r w:rsidR="007B1AFC" w:rsidRPr="00E84B6A">
        <w:t>incentivize car-free living, and promoting public awareness campaigns about the benefits of reducing car dependency.</w:t>
      </w:r>
    </w:p>
    <w:p w14:paraId="537D0141" w14:textId="77777777" w:rsidR="00E84B6A" w:rsidRPr="00E84B6A" w:rsidRDefault="007B1AFC" w:rsidP="00E84B6A">
      <w:pPr>
        <w:pStyle w:val="NormalWeb"/>
        <w:spacing w:before="0" w:beforeAutospacing="0" w:after="0" w:afterAutospacing="0"/>
        <w:ind w:firstLine="720"/>
        <w:jc w:val="both"/>
        <w:rPr>
          <w:rFonts w:eastAsiaTheme="minorHAnsi"/>
        </w:rPr>
      </w:pPr>
      <w:r w:rsidRPr="00E84B6A">
        <w:rPr>
          <w:rFonts w:eastAsiaTheme="minorHAnsi"/>
        </w:rPr>
        <w:t xml:space="preserve">The demographic groups with the lowest amount of leisure travel include individuals aged over 55 and black employees, </w:t>
      </w:r>
      <w:r w:rsidR="00C876E9" w:rsidRPr="00E84B6A">
        <w:rPr>
          <w:rFonts w:eastAsiaTheme="minorHAnsi"/>
        </w:rPr>
        <w:t xml:space="preserve">suggesting </w:t>
      </w:r>
      <w:r w:rsidRPr="00E84B6A">
        <w:rPr>
          <w:rFonts w:eastAsiaTheme="minorHAnsi"/>
        </w:rPr>
        <w:t xml:space="preserve">increased social </w:t>
      </w:r>
      <w:r w:rsidR="00C876E9" w:rsidRPr="00E84B6A">
        <w:rPr>
          <w:rFonts w:eastAsiaTheme="minorHAnsi"/>
        </w:rPr>
        <w:t>exclusion in these groups</w:t>
      </w:r>
      <w:r w:rsidRPr="00E84B6A">
        <w:rPr>
          <w:rFonts w:eastAsiaTheme="minorHAnsi"/>
        </w:rPr>
        <w:t xml:space="preserve">. </w:t>
      </w:r>
      <w:r w:rsidR="00D06E08" w:rsidRPr="00E84B6A">
        <w:rPr>
          <w:rFonts w:eastAsiaTheme="minorHAnsi"/>
        </w:rPr>
        <w:t>The combination of (1) e</w:t>
      </w:r>
      <w:r w:rsidRPr="00E84B6A">
        <w:rPr>
          <w:rFonts w:eastAsiaTheme="minorHAnsi"/>
        </w:rPr>
        <w:t>ncouraging these individuals to transition to zero-car households</w:t>
      </w:r>
      <w:r w:rsidR="00D06E08" w:rsidRPr="00E84B6A">
        <w:rPr>
          <w:rFonts w:eastAsiaTheme="minorHAnsi"/>
        </w:rPr>
        <w:t>, (2) providing more flexibility to telework at low levels</w:t>
      </w:r>
      <w:r w:rsidR="00242AD8" w:rsidRPr="00E84B6A">
        <w:rPr>
          <w:rFonts w:eastAsiaTheme="minorHAnsi"/>
        </w:rPr>
        <w:t xml:space="preserve"> per month</w:t>
      </w:r>
      <w:r w:rsidR="00D06E08" w:rsidRPr="00E84B6A">
        <w:rPr>
          <w:rFonts w:eastAsiaTheme="minorHAnsi"/>
        </w:rPr>
        <w:t xml:space="preserve">, </w:t>
      </w:r>
      <w:r w:rsidRPr="00E84B6A">
        <w:rPr>
          <w:rFonts w:eastAsiaTheme="minorHAnsi"/>
        </w:rPr>
        <w:t xml:space="preserve">and </w:t>
      </w:r>
      <w:r w:rsidR="00D06E08" w:rsidRPr="00E84B6A">
        <w:rPr>
          <w:rFonts w:eastAsiaTheme="minorHAnsi"/>
        </w:rPr>
        <w:t xml:space="preserve">(3) incentivizing </w:t>
      </w:r>
      <w:r w:rsidRPr="00E84B6A">
        <w:rPr>
          <w:rFonts w:eastAsiaTheme="minorHAnsi"/>
        </w:rPr>
        <w:t>relocati</w:t>
      </w:r>
      <w:r w:rsidR="00D06E08" w:rsidRPr="00E84B6A">
        <w:rPr>
          <w:rFonts w:eastAsiaTheme="minorHAnsi"/>
        </w:rPr>
        <w:t xml:space="preserve">on </w:t>
      </w:r>
      <w:r w:rsidRPr="00E84B6A">
        <w:rPr>
          <w:rFonts w:eastAsiaTheme="minorHAnsi"/>
        </w:rPr>
        <w:t xml:space="preserve">to areas where amenities and errands are easily accessible by foot could potentially increase leisure opportunities </w:t>
      </w:r>
      <w:r w:rsidR="00D06E08" w:rsidRPr="00E84B6A">
        <w:rPr>
          <w:rFonts w:eastAsiaTheme="minorHAnsi"/>
        </w:rPr>
        <w:t xml:space="preserve">for these population groups </w:t>
      </w:r>
      <w:r w:rsidRPr="00E84B6A">
        <w:rPr>
          <w:rFonts w:eastAsiaTheme="minorHAnsi"/>
        </w:rPr>
        <w:t>and enhance quality of life.</w:t>
      </w:r>
    </w:p>
    <w:p w14:paraId="08CF90D3" w14:textId="045BDEBF" w:rsidR="00CA179A" w:rsidRPr="00E84B6A" w:rsidRDefault="00D06E08" w:rsidP="00E84B6A">
      <w:pPr>
        <w:pStyle w:val="NormalWeb"/>
        <w:spacing w:before="0" w:beforeAutospacing="0" w:after="0" w:afterAutospacing="0"/>
        <w:ind w:firstLine="720"/>
        <w:jc w:val="both"/>
      </w:pPr>
      <w:r w:rsidRPr="00E84B6A">
        <w:rPr>
          <w:rFonts w:eastAsiaTheme="minorHAnsi"/>
        </w:rPr>
        <w:t xml:space="preserve"> </w:t>
      </w:r>
    </w:p>
    <w:bookmarkEnd w:id="17"/>
    <w:p w14:paraId="62269AC4" w14:textId="0D9B4DDA" w:rsidR="002229A7" w:rsidRPr="00E84B6A" w:rsidRDefault="001F21A5" w:rsidP="00E84B6A">
      <w:pPr>
        <w:pStyle w:val="Heading1"/>
        <w:spacing w:before="0"/>
      </w:pPr>
      <w:r w:rsidRPr="00E84B6A">
        <w:t>CONCLUSION</w:t>
      </w:r>
    </w:p>
    <w:p w14:paraId="0DCABBCA" w14:textId="3F9C4FD9" w:rsidR="0077416A" w:rsidRPr="00E84B6A" w:rsidRDefault="00D06E08" w:rsidP="00E84B6A">
      <w:pPr>
        <w:spacing w:after="0"/>
      </w:pPr>
      <w:bookmarkStart w:id="23" w:name="_Hlk172901178"/>
      <w:r w:rsidRPr="00E84B6A">
        <w:t>The r</w:t>
      </w:r>
      <w:r w:rsidR="00C2241C" w:rsidRPr="00E84B6A">
        <w:t xml:space="preserve">apid technological advancements </w:t>
      </w:r>
      <w:r w:rsidRPr="00E84B6A">
        <w:t xml:space="preserve">of the past decade, along with the new habits/experiences from the pandemic, </w:t>
      </w:r>
      <w:r w:rsidR="00C2241C" w:rsidRPr="00E84B6A">
        <w:t xml:space="preserve">have profoundly influenced our daily lives, including our choices regarding activity and travel. This study explores the </w:t>
      </w:r>
      <w:r w:rsidRPr="00E84B6A">
        <w:t>intricate</w:t>
      </w:r>
      <w:r w:rsidR="00C2241C" w:rsidRPr="00E84B6A">
        <w:t xml:space="preserve"> interrelationship betwe</w:t>
      </w:r>
      <w:r w:rsidRPr="00E84B6A">
        <w:t xml:space="preserve">en </w:t>
      </w:r>
      <w:r w:rsidR="00C2241C" w:rsidRPr="00E84B6A">
        <w:t>tele</w:t>
      </w:r>
      <w:r w:rsidRPr="00E84B6A">
        <w:t>working</w:t>
      </w:r>
      <w:r w:rsidR="00C2241C" w:rsidRPr="00E84B6A">
        <w:t xml:space="preserve"> and </w:t>
      </w:r>
      <w:r w:rsidR="0077416A" w:rsidRPr="00E84B6A">
        <w:t xml:space="preserve">weekly </w:t>
      </w:r>
      <w:r w:rsidR="00C2241C" w:rsidRPr="00E84B6A">
        <w:t xml:space="preserve">participation in </w:t>
      </w:r>
      <w:r w:rsidR="0077416A" w:rsidRPr="00E84B6A">
        <w:t xml:space="preserve">two types of </w:t>
      </w:r>
      <w:r w:rsidR="00C2241C" w:rsidRPr="00E84B6A">
        <w:t>nonwork activities</w:t>
      </w:r>
      <w:r w:rsidR="0077416A" w:rsidRPr="00E84B6A">
        <w:t xml:space="preserve"> – maintenance episodes and leisure episodes</w:t>
      </w:r>
      <w:r w:rsidR="00C2241C" w:rsidRPr="00E84B6A">
        <w:t xml:space="preserve">. </w:t>
      </w:r>
      <w:r w:rsidR="0077416A" w:rsidRPr="00E84B6A">
        <w:t>We employ a latent segmentation model to categorize the population into two segments: (1) those for whom nonwork activity participation influences telework frequency (“players”), and (2) those for whom telework frequency impacts nonwork activity participation (“workers”). Within each segment, to reduce any spurious association effects, we model teleworking and nonwork stop-making as a package by accommodating correlations in unobserved factors across the outcomes. Our methodology integrates an ordinal choice model for telecommuting adoption/intensity with count models to analyze the frequency of maintenance and leisure episodes. The data for this analysis is drawn from a 2021-2022 weekly travel survey of Minnesotan workers in the Twin City region.</w:t>
      </w:r>
    </w:p>
    <w:p w14:paraId="45A8BB35" w14:textId="5394FB21" w:rsidR="00C2241C" w:rsidRPr="00E84B6A" w:rsidRDefault="00C2241C" w:rsidP="00E84B6A">
      <w:pPr>
        <w:spacing w:after="0"/>
        <w:ind w:firstLine="720"/>
      </w:pPr>
      <w:bookmarkStart w:id="24" w:name="_Hlk167431228"/>
      <w:r w:rsidRPr="00E84B6A">
        <w:t xml:space="preserve">Our analysis reveals </w:t>
      </w:r>
      <w:r w:rsidR="00152321" w:rsidRPr="00E84B6A">
        <w:t>significant heterogeneity in the causal directionality of effect, with nonwork activity participation influencing telework intensity levels for about two-thirds of individuals (the “player” or NT segment) and telework levels influencing nonwork activity participation for the rest (the “worker</w:t>
      </w:r>
      <w:r w:rsidR="001B4481" w:rsidRPr="00E84B6A">
        <w:t>”</w:t>
      </w:r>
      <w:r w:rsidR="00152321" w:rsidRPr="00E84B6A">
        <w:t xml:space="preserve"> or TN segment). This result is in contrast to earlier studies that have predominantly assumed that all individuals belong to the TN or </w:t>
      </w:r>
      <w:r w:rsidR="001B4481" w:rsidRPr="00E84B6A">
        <w:t>“</w:t>
      </w:r>
      <w:r w:rsidR="00152321" w:rsidRPr="00E84B6A">
        <w:t>worker” segment</w:t>
      </w:r>
      <w:r w:rsidR="00AC2320" w:rsidRPr="00E84B6A">
        <w:t>, which according to our analysis, is actually the case only for a minority of the population</w:t>
      </w:r>
      <w:r w:rsidR="00152321" w:rsidRPr="00E84B6A">
        <w:t xml:space="preserve">. Data fit measures at the disaggregate and aggregate levels clearly illustrate the superior performance of our proposed model relative to ones that </w:t>
      </w:r>
      <w:r w:rsidR="00152321" w:rsidRPr="00E84B6A">
        <w:rPr>
          <w:i/>
          <w:iCs/>
        </w:rPr>
        <w:t>a priori</w:t>
      </w:r>
      <w:r w:rsidR="00152321" w:rsidRPr="00E84B6A">
        <w:t xml:space="preserve"> impose a single causal direction </w:t>
      </w:r>
      <w:r w:rsidR="00AC2320" w:rsidRPr="00E84B6A">
        <w:t xml:space="preserve">of </w:t>
      </w:r>
      <w:r w:rsidR="00152321" w:rsidRPr="00E84B6A">
        <w:t xml:space="preserve">effect across </w:t>
      </w:r>
      <w:r w:rsidR="00152321" w:rsidRPr="00E84B6A">
        <w:lastRenderedPageBreak/>
        <w:t xml:space="preserve">all individuals. </w:t>
      </w:r>
      <w:r w:rsidR="00AC2320" w:rsidRPr="00E84B6A">
        <w:t xml:space="preserve">Employees </w:t>
      </w:r>
      <w:r w:rsidR="00242AD8" w:rsidRPr="00E84B6A">
        <w:t>who are not single parents</w:t>
      </w:r>
      <w:r w:rsidR="00AC2320" w:rsidRPr="00E84B6A">
        <w:t xml:space="preserve">, those between 35 and 44 years old, </w:t>
      </w:r>
      <w:r w:rsidR="00242AD8" w:rsidRPr="00E84B6A">
        <w:t xml:space="preserve">individuals who are </w:t>
      </w:r>
      <w:r w:rsidR="00AC2320" w:rsidRPr="00E84B6A">
        <w:t>from zero</w:t>
      </w:r>
      <w:r w:rsidR="001B4481" w:rsidRPr="00E84B6A">
        <w:t>-</w:t>
      </w:r>
      <w:r w:rsidR="00AC2320" w:rsidRPr="00E84B6A">
        <w:t>car households, and rural dwellers</w:t>
      </w:r>
      <w:r w:rsidR="00AC2320" w:rsidRPr="00E84B6A" w:rsidDel="001E028E">
        <w:t xml:space="preserve"> </w:t>
      </w:r>
      <w:r w:rsidR="00AC2320" w:rsidRPr="00E84B6A">
        <w:t xml:space="preserve">are more likely to feature in the NT segment, highlighting a lifestyle-driven approach where personal preferences and activities tend to dictate teleworking patterns. Conversely, </w:t>
      </w:r>
      <w:r w:rsidR="001E028E" w:rsidRPr="00E84B6A">
        <w:t>single parents, younger</w:t>
      </w:r>
      <w:r w:rsidRPr="00E84B6A">
        <w:t>-aged employees (</w:t>
      </w:r>
      <w:r w:rsidR="001E028E" w:rsidRPr="00E84B6A">
        <w:t>younger than 35 years old</w:t>
      </w:r>
      <w:r w:rsidRPr="00E84B6A">
        <w:t>)</w:t>
      </w:r>
      <w:r w:rsidR="001E028E" w:rsidRPr="00E84B6A">
        <w:t>,</w:t>
      </w:r>
      <w:r w:rsidRPr="00E84B6A">
        <w:t xml:space="preserve"> </w:t>
      </w:r>
      <w:r w:rsidR="00242AD8" w:rsidRPr="00E84B6A">
        <w:t xml:space="preserve">those who are not in zero-car households, </w:t>
      </w:r>
      <w:r w:rsidRPr="00E84B6A">
        <w:t xml:space="preserve">and </w:t>
      </w:r>
      <w:r w:rsidR="001E028E" w:rsidRPr="00E84B6A">
        <w:t xml:space="preserve">urban and suburban </w:t>
      </w:r>
      <w:r w:rsidRPr="00E84B6A">
        <w:t>dwellers</w:t>
      </w:r>
      <w:r w:rsidR="00AC2320" w:rsidRPr="00E84B6A">
        <w:t xml:space="preserve">, tend to be more likely to belong to the TN segment, </w:t>
      </w:r>
      <w:r w:rsidRPr="00E84B6A">
        <w:t xml:space="preserve">suggesting a lifestyle where professional and personal spheres are intricately linked. </w:t>
      </w:r>
      <w:bookmarkEnd w:id="24"/>
    </w:p>
    <w:p w14:paraId="41DB9C7C" w14:textId="2B862904" w:rsidR="00E84B6A" w:rsidRPr="00E84B6A" w:rsidRDefault="003B5BCD" w:rsidP="00E84B6A">
      <w:pPr>
        <w:spacing w:after="0"/>
        <w:ind w:firstLine="720"/>
      </w:pPr>
      <w:r w:rsidRPr="00E84B6A">
        <w:t xml:space="preserve">Finally, through ATE calculations, our study reveals that there is no monotonic effect of telework on the number of stops made. The typical question of whether telework increases or decreases stop-making oversimplifies the issue. Instead, </w:t>
      </w:r>
      <w:r w:rsidR="00562B44" w:rsidRPr="00E84B6A">
        <w:t xml:space="preserve">our study underscores the need to investigate </w:t>
      </w:r>
      <w:r w:rsidRPr="00E84B6A">
        <w:t xml:space="preserve">how the number of nonwork stops </w:t>
      </w:r>
      <w:r w:rsidR="00562B44" w:rsidRPr="00E84B6A">
        <w:t xml:space="preserve">relates to </w:t>
      </w:r>
      <w:r w:rsidRPr="00E84B6A">
        <w:t>the intensity of teleworking. Our findings reveal a</w:t>
      </w:r>
      <w:r w:rsidR="00562B44" w:rsidRPr="00E84B6A">
        <w:t>n inverted</w:t>
      </w:r>
      <w:r w:rsidRPr="00E84B6A">
        <w:t xml:space="preserve"> U-shaped curve, with the highest number of </w:t>
      </w:r>
      <w:r w:rsidR="00562B44" w:rsidRPr="00E84B6A">
        <w:t>non</w:t>
      </w:r>
      <w:r w:rsidR="00134836" w:rsidRPr="00E84B6A">
        <w:t xml:space="preserve">work </w:t>
      </w:r>
      <w:r w:rsidRPr="00E84B6A">
        <w:t>stops occurring</w:t>
      </w:r>
      <w:r w:rsidR="00562B44" w:rsidRPr="00E84B6A">
        <w:t xml:space="preserve"> </w:t>
      </w:r>
      <w:r w:rsidRPr="00E84B6A">
        <w:t xml:space="preserve">when individuals telework </w:t>
      </w:r>
      <w:r w:rsidR="006F6119" w:rsidRPr="00E84B6A">
        <w:t xml:space="preserve">1-3 </w:t>
      </w:r>
      <w:r w:rsidRPr="00E84B6A">
        <w:t xml:space="preserve">days a month or one day per week. Assuming that the travel length to nonwork stops </w:t>
      </w:r>
      <w:r w:rsidR="00134836" w:rsidRPr="00E84B6A">
        <w:t>is independent of the number of nonwork stops made</w:t>
      </w:r>
      <w:r w:rsidRPr="00E84B6A">
        <w:t xml:space="preserve">, the percentage changes observed also reflect changes in VMT. This, </w:t>
      </w:r>
      <w:r w:rsidR="00E17EC5" w:rsidRPr="00E84B6A">
        <w:t>combined with the finding from the Asmussen et al. (2024</w:t>
      </w:r>
      <w:r w:rsidR="00AB236A">
        <w:t>a</w:t>
      </w:r>
      <w:r w:rsidR="00E17EC5" w:rsidRPr="00E84B6A">
        <w:t xml:space="preserve">) study, </w:t>
      </w:r>
      <w:r w:rsidR="00242AD8" w:rsidRPr="00E84B6A">
        <w:t>suggests</w:t>
      </w:r>
      <w:r w:rsidR="00E17EC5" w:rsidRPr="00E84B6A">
        <w:t xml:space="preserve"> </w:t>
      </w:r>
      <w:r w:rsidRPr="00E84B6A">
        <w:t>that low levels of telework (a day per week</w:t>
      </w:r>
      <w:r w:rsidR="00562B44" w:rsidRPr="00E84B6A">
        <w:t xml:space="preserve"> or less</w:t>
      </w:r>
      <w:r w:rsidRPr="00E84B6A">
        <w:t>) actually increase</w:t>
      </w:r>
      <w:r w:rsidR="00562B44" w:rsidRPr="00E84B6A">
        <w:t>s</w:t>
      </w:r>
      <w:r w:rsidRPr="00E84B6A">
        <w:t xml:space="preserve"> both commute VMT and nonwork VMT. Therefore, to achieve VMT reduction</w:t>
      </w:r>
      <w:r w:rsidR="00562B44" w:rsidRPr="00E84B6A">
        <w:t xml:space="preserve"> through teleworking</w:t>
      </w:r>
      <w:r w:rsidRPr="00E84B6A">
        <w:t xml:space="preserve">, promoting moderate to high levels of telework </w:t>
      </w:r>
      <w:r w:rsidR="00562B44" w:rsidRPr="00E84B6A">
        <w:t>appears important</w:t>
      </w:r>
      <w:r w:rsidRPr="00E84B6A">
        <w:t>.</w:t>
      </w:r>
    </w:p>
    <w:p w14:paraId="2A7A9FA5" w14:textId="7EE62BAD" w:rsidR="001F21A5" w:rsidRDefault="00C2241C" w:rsidP="00E84B6A">
      <w:pPr>
        <w:spacing w:after="0"/>
        <w:ind w:firstLine="720"/>
      </w:pPr>
      <w:r w:rsidRPr="00E84B6A">
        <w:t xml:space="preserve">In conclusion, this study contributes to the growing body of literature on telework by providing an updated, post-COVID detailed analysis of </w:t>
      </w:r>
      <w:r w:rsidR="00562B44" w:rsidRPr="00E84B6A">
        <w:t xml:space="preserve">the intricate relationship between </w:t>
      </w:r>
      <w:r w:rsidRPr="00E84B6A">
        <w:t xml:space="preserve">telework </w:t>
      </w:r>
      <w:r w:rsidR="00562B44" w:rsidRPr="00E84B6A">
        <w:t xml:space="preserve">and </w:t>
      </w:r>
      <w:r w:rsidRPr="00E84B6A">
        <w:t>nonwork activity participatio</w:t>
      </w:r>
      <w:r w:rsidR="00562B44" w:rsidRPr="00E84B6A">
        <w:t>n</w:t>
      </w:r>
      <w:r w:rsidRPr="00E84B6A">
        <w:t xml:space="preserve">. As teleworking continues to evolve, it will be essential for policymakers, urban planners, and </w:t>
      </w:r>
      <w:r w:rsidR="00562B44" w:rsidRPr="00E84B6A">
        <w:t xml:space="preserve">transportation </w:t>
      </w:r>
      <w:r w:rsidRPr="00E84B6A">
        <w:t xml:space="preserve">researchers to </w:t>
      </w:r>
      <w:r w:rsidR="00562B44" w:rsidRPr="00E84B6A">
        <w:t xml:space="preserve">track teleworking intensity levels and </w:t>
      </w:r>
      <w:r w:rsidRPr="00E84B6A">
        <w:t xml:space="preserve">the changing patterns of work and </w:t>
      </w:r>
      <w:r w:rsidR="00562B44" w:rsidRPr="00E84B6A">
        <w:t xml:space="preserve">nonwork participation </w:t>
      </w:r>
      <w:r w:rsidRPr="00E84B6A">
        <w:t xml:space="preserve">behavior. </w:t>
      </w:r>
      <w:r w:rsidR="00562B44" w:rsidRPr="00E84B6A">
        <w:t>Of course, additional empirical investigations using both cross-sectional and longitudinal data are needed to examine the external validity (spatial and temporal transferability) of our results</w:t>
      </w:r>
      <w:r w:rsidR="00E86AF3" w:rsidRPr="00E84B6A">
        <w:t xml:space="preserve">, as well as to extend our investigation to include more detailed spatial-temporal dimensions of nonwork (and work) activity participation behaviors in a continually evolving landscape of </w:t>
      </w:r>
      <w:r w:rsidRPr="00E84B6A">
        <w:t xml:space="preserve">hybrid work arrangements </w:t>
      </w:r>
      <w:r w:rsidR="00E86AF3" w:rsidRPr="00E84B6A">
        <w:t>and virtual technologies</w:t>
      </w:r>
      <w:r w:rsidRPr="00E84B6A">
        <w:t>.</w:t>
      </w:r>
    </w:p>
    <w:p w14:paraId="5F268827" w14:textId="64422731" w:rsidR="00E84B6A" w:rsidRDefault="00E84B6A" w:rsidP="00E84B6A">
      <w:pPr>
        <w:spacing w:after="0"/>
      </w:pPr>
    </w:p>
    <w:p w14:paraId="1A88CB54" w14:textId="77777777" w:rsidR="00E84B6A" w:rsidRDefault="00E84B6A" w:rsidP="00E84B6A">
      <w:pPr>
        <w:spacing w:after="0"/>
        <w:rPr>
          <w:b/>
          <w:bCs/>
        </w:rPr>
      </w:pPr>
      <w:r>
        <w:rPr>
          <w:b/>
          <w:bCs/>
        </w:rPr>
        <w:t xml:space="preserve">ACKNOWLEDGEMENTS </w:t>
      </w:r>
    </w:p>
    <w:p w14:paraId="0CED0CBE" w14:textId="77777777" w:rsidR="00E84B6A" w:rsidRDefault="00E84B6A" w:rsidP="00E84B6A">
      <w:pPr>
        <w:spacing w:after="0"/>
      </w:pPr>
      <w:r>
        <w:t>This research was supported by the U.S. Department of Transportation through the Center for Understanding Future Travel Behavior and Demand (TBD) (Grant No. 69A3552344815 and No. 69A3552348320). The authors are grateful to Lisa Macias for her help in formatting this document.</w:t>
      </w:r>
    </w:p>
    <w:p w14:paraId="5CD4B922" w14:textId="77777777" w:rsidR="00E84B6A" w:rsidRPr="00E84B6A" w:rsidRDefault="00E84B6A" w:rsidP="00E84B6A">
      <w:pPr>
        <w:spacing w:after="0"/>
      </w:pPr>
    </w:p>
    <w:bookmarkEnd w:id="23"/>
    <w:p w14:paraId="255F6ED0" w14:textId="59EC000E" w:rsidR="00371782" w:rsidRPr="00E84B6A" w:rsidRDefault="00464D7F" w:rsidP="008D4D2B">
      <w:pPr>
        <w:pStyle w:val="Heading1"/>
        <w:numPr>
          <w:ilvl w:val="0"/>
          <w:numId w:val="0"/>
        </w:numPr>
        <w:spacing w:before="0"/>
        <w:ind w:left="360" w:hanging="360"/>
        <w:rPr>
          <w:b w:val="0"/>
          <w:bCs w:val="0"/>
        </w:rPr>
      </w:pPr>
      <w:r w:rsidRPr="00E84B6A">
        <w:t>REFERENCES</w:t>
      </w:r>
      <w:r w:rsidR="003D1B81" w:rsidRPr="00E84B6A">
        <w:t xml:space="preserve"> </w:t>
      </w:r>
    </w:p>
    <w:p w14:paraId="7BA431A1"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Allahviranloo, M. (2016). Pattern recognition and personal travel behavior. In </w:t>
      </w:r>
      <w:r w:rsidRPr="00965FE1">
        <w:rPr>
          <w:i/>
          <w:iCs/>
          <w:color w:val="222222"/>
          <w:shd w:val="clear" w:color="auto" w:fill="FFFFFF"/>
        </w:rPr>
        <w:t>Transportation Research Board 95th Annual Meeting</w:t>
      </w:r>
      <w:r w:rsidRPr="00965FE1">
        <w:rPr>
          <w:color w:val="222222"/>
          <w:shd w:val="clear" w:color="auto" w:fill="FFFFFF"/>
        </w:rPr>
        <w:t> (No. 16-3970).</w:t>
      </w:r>
    </w:p>
    <w:p w14:paraId="6510D76F" w14:textId="77777777" w:rsidR="00DD5993" w:rsidRPr="00965FE1" w:rsidRDefault="00DD5993" w:rsidP="00DD5993">
      <w:pPr>
        <w:spacing w:after="0"/>
        <w:ind w:left="720" w:hanging="720"/>
        <w:rPr>
          <w:sz w:val="32"/>
          <w:szCs w:val="32"/>
        </w:rPr>
      </w:pPr>
      <w:r w:rsidRPr="00965FE1">
        <w:t>Angrist, J.D., and Imbens, G.W. (1991). Sources of identifying information in evaluation models. Technical Working Paper 0117, National Bureau of Economic Research.</w:t>
      </w:r>
    </w:p>
    <w:p w14:paraId="5225B788" w14:textId="77777777" w:rsidR="00DD5993" w:rsidRPr="00965FE1" w:rsidRDefault="00DD5993" w:rsidP="00DD5993">
      <w:pPr>
        <w:spacing w:after="0"/>
        <w:ind w:left="720" w:hanging="720"/>
        <w:rPr>
          <w:color w:val="222222"/>
          <w:shd w:val="clear" w:color="auto" w:fill="FFFFFF"/>
        </w:rPr>
      </w:pPr>
      <w:r w:rsidRPr="00965FE1">
        <w:t xml:space="preserve">Angueira, J., Konduri, K. C., Chakour, V., and Eluru, N. (2019). Exploring the relationship between vehicle type choice and distance traveled: a latent segmentation approach. </w:t>
      </w:r>
      <w:r w:rsidRPr="00965FE1">
        <w:rPr>
          <w:i/>
          <w:iCs/>
        </w:rPr>
        <w:t>Transportation Letters, 11</w:t>
      </w:r>
      <w:r w:rsidRPr="00965FE1">
        <w:t>(3), 146-157.</w:t>
      </w:r>
    </w:p>
    <w:p w14:paraId="0BFEC010" w14:textId="77777777" w:rsidR="00DD5993" w:rsidRPr="00965FE1" w:rsidRDefault="00DD5993" w:rsidP="00DD5993">
      <w:pPr>
        <w:tabs>
          <w:tab w:val="left" w:pos="630"/>
        </w:tabs>
        <w:spacing w:after="0"/>
        <w:ind w:left="720" w:hanging="720"/>
        <w:rPr>
          <w:shd w:val="clear" w:color="auto" w:fill="FFFFFF"/>
        </w:rPr>
      </w:pPr>
      <w:r w:rsidRPr="00965FE1">
        <w:rPr>
          <w:shd w:val="clear" w:color="auto" w:fill="FFFFFF"/>
        </w:rPr>
        <w:t>Aptech (2022). Gauss (21) [Computer Software]. Aptech Systems.</w:t>
      </w:r>
    </w:p>
    <w:p w14:paraId="471AEF9E" w14:textId="047951BA"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Asdecker, B. (2022). Travel-related influencer content on </w:t>
      </w:r>
      <w:r w:rsidR="00B8253A">
        <w:rPr>
          <w:color w:val="222222"/>
          <w:shd w:val="clear" w:color="auto" w:fill="FFFFFF"/>
        </w:rPr>
        <w:t>I</w:t>
      </w:r>
      <w:r w:rsidRPr="00965FE1">
        <w:rPr>
          <w:color w:val="222222"/>
          <w:shd w:val="clear" w:color="auto" w:fill="FFFFFF"/>
        </w:rPr>
        <w:t>nstagram: How social media fuels wanderlust and how to mitigate the effect. </w:t>
      </w:r>
      <w:r w:rsidRPr="00965FE1">
        <w:rPr>
          <w:i/>
          <w:iCs/>
          <w:color w:val="222222"/>
          <w:shd w:val="clear" w:color="auto" w:fill="FFFFFF"/>
        </w:rPr>
        <w:t>Sustainability</w:t>
      </w:r>
      <w:r w:rsidRPr="00965FE1">
        <w:rPr>
          <w:color w:val="222222"/>
          <w:shd w:val="clear" w:color="auto" w:fill="FFFFFF"/>
        </w:rPr>
        <w:t>, </w:t>
      </w:r>
      <w:r w:rsidRPr="00965FE1">
        <w:rPr>
          <w:i/>
          <w:iCs/>
          <w:color w:val="222222"/>
          <w:shd w:val="clear" w:color="auto" w:fill="FFFFFF"/>
        </w:rPr>
        <w:t>14</w:t>
      </w:r>
      <w:r w:rsidRPr="00965FE1">
        <w:rPr>
          <w:color w:val="222222"/>
          <w:shd w:val="clear" w:color="auto" w:fill="FFFFFF"/>
        </w:rPr>
        <w:t>(2), 855.</w:t>
      </w:r>
    </w:p>
    <w:p w14:paraId="6F675703" w14:textId="77777777" w:rsidR="00DD5993" w:rsidRPr="00965FE1" w:rsidRDefault="00DD5993" w:rsidP="00DD5993">
      <w:pPr>
        <w:spacing w:after="0"/>
        <w:ind w:left="720" w:hanging="720"/>
        <w:rPr>
          <w:color w:val="222222"/>
          <w:shd w:val="clear" w:color="auto" w:fill="FFFFFF"/>
        </w:rPr>
      </w:pPr>
      <w:bookmarkStart w:id="25" w:name="_Hlk173541677"/>
      <w:r w:rsidRPr="00965FE1">
        <w:rPr>
          <w:color w:val="222222"/>
          <w:shd w:val="clear" w:color="auto" w:fill="FFFFFF"/>
        </w:rPr>
        <w:lastRenderedPageBreak/>
        <w:t>Asgari, H</w:t>
      </w:r>
      <w:bookmarkEnd w:id="25"/>
      <w:r w:rsidRPr="00965FE1">
        <w:rPr>
          <w:color w:val="222222"/>
          <w:shd w:val="clear" w:color="auto" w:fill="FFFFFF"/>
        </w:rPr>
        <w:t>., Jin, X., and Du, Y. (2016). Examination of the impacts of telecommuting on the time use of nonmandatory activities. </w:t>
      </w:r>
      <w:r w:rsidRPr="00965FE1">
        <w:rPr>
          <w:i/>
          <w:iCs/>
          <w:color w:val="222222"/>
          <w:shd w:val="clear" w:color="auto" w:fill="FFFFFF"/>
        </w:rPr>
        <w:t>Transportation Research Record</w:t>
      </w:r>
      <w:r w:rsidRPr="00965FE1">
        <w:rPr>
          <w:color w:val="222222"/>
          <w:shd w:val="clear" w:color="auto" w:fill="FFFFFF"/>
        </w:rPr>
        <w:t>, </w:t>
      </w:r>
      <w:r w:rsidRPr="00965FE1">
        <w:rPr>
          <w:i/>
          <w:iCs/>
          <w:color w:val="222222"/>
          <w:shd w:val="clear" w:color="auto" w:fill="FFFFFF"/>
        </w:rPr>
        <w:t>2566</w:t>
      </w:r>
      <w:r w:rsidRPr="00965FE1">
        <w:rPr>
          <w:color w:val="222222"/>
          <w:shd w:val="clear" w:color="auto" w:fill="FFFFFF"/>
        </w:rPr>
        <w:t>(1), 83-92.</w:t>
      </w:r>
    </w:p>
    <w:p w14:paraId="56E578D6" w14:textId="4FD4EB6A" w:rsidR="00AB236A" w:rsidRPr="00965FE1" w:rsidRDefault="00AB236A" w:rsidP="00AB236A">
      <w:pPr>
        <w:spacing w:after="0"/>
        <w:ind w:left="720" w:hanging="720"/>
        <w:rPr>
          <w:color w:val="222222"/>
          <w:shd w:val="clear" w:color="auto" w:fill="FFFFFF"/>
        </w:rPr>
      </w:pPr>
      <w:r w:rsidRPr="00965FE1">
        <w:rPr>
          <w:color w:val="222222"/>
          <w:shd w:val="clear" w:color="auto" w:fill="FFFFFF"/>
        </w:rPr>
        <w:t>Asmussen, K. E., Mondal, A., and Bhat, C. R. (2024</w:t>
      </w:r>
      <w:r>
        <w:rPr>
          <w:color w:val="222222"/>
          <w:shd w:val="clear" w:color="auto" w:fill="FFFFFF"/>
        </w:rPr>
        <w:t>a</w:t>
      </w:r>
      <w:r w:rsidRPr="00965FE1">
        <w:rPr>
          <w:color w:val="222222"/>
          <w:shd w:val="clear" w:color="auto" w:fill="FFFFFF"/>
        </w:rPr>
        <w:t>). The interplay between teleworking choice and commute distance. </w:t>
      </w:r>
      <w:r w:rsidRPr="00965FE1">
        <w:rPr>
          <w:i/>
          <w:iCs/>
          <w:color w:val="222222"/>
          <w:shd w:val="clear" w:color="auto" w:fill="FFFFFF"/>
        </w:rPr>
        <w:t>Transportation Research Part C: Emerging Technologies</w:t>
      </w:r>
      <w:r w:rsidRPr="00965FE1">
        <w:rPr>
          <w:color w:val="222222"/>
          <w:shd w:val="clear" w:color="auto" w:fill="FFFFFF"/>
        </w:rPr>
        <w:t>, </w:t>
      </w:r>
      <w:r w:rsidRPr="00965FE1">
        <w:rPr>
          <w:i/>
          <w:iCs/>
          <w:color w:val="222222"/>
          <w:shd w:val="clear" w:color="auto" w:fill="FFFFFF"/>
        </w:rPr>
        <w:t>165</w:t>
      </w:r>
      <w:r w:rsidRPr="00965FE1">
        <w:rPr>
          <w:color w:val="222222"/>
          <w:shd w:val="clear" w:color="auto" w:fill="FFFFFF"/>
        </w:rPr>
        <w:t>, 104690.</w:t>
      </w:r>
    </w:p>
    <w:p w14:paraId="1A48A68C" w14:textId="6DD8CE98" w:rsidR="00DD5993" w:rsidRPr="00965FE1" w:rsidRDefault="00DD5993" w:rsidP="00DD5993">
      <w:pPr>
        <w:spacing w:after="0"/>
        <w:ind w:left="720" w:hanging="720"/>
        <w:rPr>
          <w:color w:val="222222"/>
          <w:shd w:val="clear" w:color="auto" w:fill="FFFFFF"/>
        </w:rPr>
      </w:pPr>
      <w:r w:rsidRPr="00965FE1">
        <w:rPr>
          <w:color w:val="222222"/>
          <w:shd w:val="clear" w:color="auto" w:fill="FFFFFF"/>
        </w:rPr>
        <w:t>Asmussen, K. E., Mondal, A., Batur, I., Dirks, A., Pendyala, R. M., and Bhat, C. R. (2024</w:t>
      </w:r>
      <w:r w:rsidR="00AB236A">
        <w:rPr>
          <w:color w:val="222222"/>
          <w:shd w:val="clear" w:color="auto" w:fill="FFFFFF"/>
        </w:rPr>
        <w:t>b</w:t>
      </w:r>
      <w:r w:rsidRPr="00965FE1">
        <w:rPr>
          <w:color w:val="222222"/>
          <w:shd w:val="clear" w:color="auto" w:fill="FFFFFF"/>
        </w:rPr>
        <w:t>). An investigation of individual-level telework arrangements in the COVID-era.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179</w:t>
      </w:r>
      <w:r w:rsidRPr="00965FE1">
        <w:rPr>
          <w:color w:val="222222"/>
          <w:shd w:val="clear" w:color="auto" w:fill="FFFFFF"/>
        </w:rPr>
        <w:t>, 103888.</w:t>
      </w:r>
    </w:p>
    <w:p w14:paraId="702A0DF1"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Asmussen, K. E., Mondal, A., Bhat, C. R., and Pendyala, R. M. (2023). On modeling future workplace location decisions: An analysis of Texas employees.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172</w:t>
      </w:r>
      <w:r w:rsidRPr="00965FE1">
        <w:rPr>
          <w:color w:val="222222"/>
          <w:shd w:val="clear" w:color="auto" w:fill="FFFFFF"/>
        </w:rPr>
        <w:t>, 103671.</w:t>
      </w:r>
    </w:p>
    <w:p w14:paraId="429C5129" w14:textId="77777777" w:rsidR="00CB28A2" w:rsidRPr="00965FE1" w:rsidRDefault="00CB28A2" w:rsidP="00CB28A2">
      <w:pPr>
        <w:spacing w:after="0"/>
        <w:ind w:left="720" w:hanging="720"/>
        <w:rPr>
          <w:color w:val="222222"/>
          <w:shd w:val="clear" w:color="auto" w:fill="FFFFFF"/>
        </w:rPr>
      </w:pPr>
      <w:r w:rsidRPr="00965FE1">
        <w:t xml:space="preserve">Astroza, S., Garikapati, V. M., Pendyala, R. M., Bhat, C. R., and Mokhtarian, P. L. (2019). Representing heterogeneity in structural relationships among multiple choice variables using a latent segmentation approach. </w:t>
      </w:r>
      <w:r w:rsidRPr="00965FE1">
        <w:rPr>
          <w:i/>
          <w:iCs/>
        </w:rPr>
        <w:t>Transportation</w:t>
      </w:r>
      <w:r w:rsidRPr="00CB28A2">
        <w:t xml:space="preserve">, </w:t>
      </w:r>
      <w:r w:rsidRPr="00965FE1">
        <w:rPr>
          <w:i/>
          <w:iCs/>
        </w:rPr>
        <w:t>46</w:t>
      </w:r>
      <w:r w:rsidRPr="00965FE1">
        <w:t>, 1755-1784.</w:t>
      </w:r>
    </w:p>
    <w:p w14:paraId="1865C286" w14:textId="0551E411" w:rsidR="00DD5993" w:rsidRPr="00965FE1" w:rsidRDefault="00DD5993" w:rsidP="00DD5993">
      <w:pPr>
        <w:spacing w:after="0"/>
        <w:ind w:left="720" w:hanging="720"/>
        <w:rPr>
          <w:color w:val="222222"/>
          <w:shd w:val="clear" w:color="auto" w:fill="FFFFFF"/>
        </w:rPr>
      </w:pPr>
      <w:r w:rsidRPr="00965FE1">
        <w:rPr>
          <w:color w:val="222222"/>
          <w:shd w:val="clear" w:color="auto" w:fill="FFFFFF"/>
        </w:rPr>
        <w:t>Astroza, S., Bhat, P. C., Bhat, C. R., Pendyala, R. M., and Garikapati, V. M. (2018). Understanding activity engagement across weekdays and weekend days: A multivariate multiple discrete-continuous modeling approach. </w:t>
      </w:r>
      <w:r w:rsidRPr="00965FE1">
        <w:rPr>
          <w:i/>
          <w:iCs/>
          <w:color w:val="222222"/>
          <w:shd w:val="clear" w:color="auto" w:fill="FFFFFF"/>
        </w:rPr>
        <w:t xml:space="preserve">Journal of </w:t>
      </w:r>
      <w:r w:rsidR="004B2796">
        <w:rPr>
          <w:i/>
          <w:iCs/>
          <w:color w:val="222222"/>
          <w:shd w:val="clear" w:color="auto" w:fill="FFFFFF"/>
        </w:rPr>
        <w:t>C</w:t>
      </w:r>
      <w:r w:rsidRPr="00965FE1">
        <w:rPr>
          <w:i/>
          <w:iCs/>
          <w:color w:val="222222"/>
          <w:shd w:val="clear" w:color="auto" w:fill="FFFFFF"/>
        </w:rPr>
        <w:t xml:space="preserve">hoice </w:t>
      </w:r>
      <w:r w:rsidR="004B2796">
        <w:rPr>
          <w:i/>
          <w:iCs/>
          <w:color w:val="222222"/>
          <w:shd w:val="clear" w:color="auto" w:fill="FFFFFF"/>
        </w:rPr>
        <w:t>M</w:t>
      </w:r>
      <w:r w:rsidRPr="00965FE1">
        <w:rPr>
          <w:i/>
          <w:iCs/>
          <w:color w:val="222222"/>
          <w:shd w:val="clear" w:color="auto" w:fill="FFFFFF"/>
        </w:rPr>
        <w:t>odelling</w:t>
      </w:r>
      <w:r w:rsidRPr="00965FE1">
        <w:rPr>
          <w:color w:val="222222"/>
          <w:shd w:val="clear" w:color="auto" w:fill="FFFFFF"/>
        </w:rPr>
        <w:t>, </w:t>
      </w:r>
      <w:r w:rsidRPr="00965FE1">
        <w:rPr>
          <w:i/>
          <w:iCs/>
          <w:color w:val="222222"/>
          <w:shd w:val="clear" w:color="auto" w:fill="FFFFFF"/>
        </w:rPr>
        <w:t>28</w:t>
      </w:r>
      <w:r w:rsidRPr="00965FE1">
        <w:rPr>
          <w:color w:val="222222"/>
          <w:shd w:val="clear" w:color="auto" w:fill="FFFFFF"/>
        </w:rPr>
        <w:t>, 56-70.</w:t>
      </w:r>
    </w:p>
    <w:p w14:paraId="5E14D8CD"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Baker, M. G. (2020). Nonrelocatable occupations at increased risk during pandemics: United States, 2018. </w:t>
      </w:r>
      <w:r w:rsidRPr="00965FE1">
        <w:rPr>
          <w:i/>
          <w:iCs/>
          <w:color w:val="222222"/>
          <w:shd w:val="clear" w:color="auto" w:fill="FFFFFF"/>
        </w:rPr>
        <w:t>American Journal of Public Health</w:t>
      </w:r>
      <w:r w:rsidRPr="00965FE1">
        <w:rPr>
          <w:color w:val="222222"/>
          <w:shd w:val="clear" w:color="auto" w:fill="FFFFFF"/>
        </w:rPr>
        <w:t>, </w:t>
      </w:r>
      <w:r w:rsidRPr="00965FE1">
        <w:rPr>
          <w:i/>
          <w:iCs/>
          <w:color w:val="222222"/>
          <w:shd w:val="clear" w:color="auto" w:fill="FFFFFF"/>
        </w:rPr>
        <w:t>110</w:t>
      </w:r>
      <w:r w:rsidRPr="00965FE1">
        <w:rPr>
          <w:color w:val="222222"/>
          <w:shd w:val="clear" w:color="auto" w:fill="FFFFFF"/>
        </w:rPr>
        <w:t>(8), 1126-1132.</w:t>
      </w:r>
    </w:p>
    <w:p w14:paraId="60CE0883"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Balbontin, C., Hensher, D. A., Beck, M. J., Giesen, R., Basnak, P., Vallejo-Borda, J. A., and Venter, C. (2021). Impact of COVID-19 on the number of days working from home and commuting travel: A cross-cultural comparison between Australia, South America and South Africa. </w:t>
      </w:r>
      <w:r w:rsidRPr="00965FE1">
        <w:rPr>
          <w:i/>
          <w:iCs/>
          <w:color w:val="222222"/>
          <w:shd w:val="clear" w:color="auto" w:fill="FFFFFF"/>
        </w:rPr>
        <w:t>Journal of Transport Geography</w:t>
      </w:r>
      <w:r w:rsidRPr="00965FE1">
        <w:rPr>
          <w:color w:val="222222"/>
          <w:shd w:val="clear" w:color="auto" w:fill="FFFFFF"/>
        </w:rPr>
        <w:t>, </w:t>
      </w:r>
      <w:r w:rsidRPr="00965FE1">
        <w:rPr>
          <w:i/>
          <w:iCs/>
          <w:color w:val="222222"/>
          <w:shd w:val="clear" w:color="auto" w:fill="FFFFFF"/>
        </w:rPr>
        <w:t>96</w:t>
      </w:r>
      <w:r w:rsidRPr="00965FE1">
        <w:rPr>
          <w:color w:val="222222"/>
          <w:shd w:val="clear" w:color="auto" w:fill="FFFFFF"/>
        </w:rPr>
        <w:t>, 103188.</w:t>
      </w:r>
    </w:p>
    <w:p w14:paraId="5B2973D6" w14:textId="77777777" w:rsidR="00DD5993" w:rsidRPr="00965FE1" w:rsidRDefault="00DD5993" w:rsidP="00DD5993">
      <w:pPr>
        <w:spacing w:after="0"/>
        <w:ind w:left="720" w:hanging="720"/>
      </w:pPr>
      <w:r w:rsidRPr="00965FE1">
        <w:rPr>
          <w:color w:val="222222"/>
          <w:shd w:val="clear" w:color="auto" w:fill="FFFFFF"/>
        </w:rPr>
        <w:t>Balepur, P. N., Varma, K. V., and Mokhtarian, P. L. (1998). Transportation impacts of center-based telecommuting: Interim findings from the Neighborhood Telecenters Project.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25</w:t>
      </w:r>
      <w:r w:rsidRPr="00965FE1">
        <w:rPr>
          <w:color w:val="222222"/>
          <w:shd w:val="clear" w:color="auto" w:fill="FFFFFF"/>
        </w:rPr>
        <w:t>, 287-306.</w:t>
      </w:r>
      <w:r w:rsidRPr="00965FE1">
        <w:t xml:space="preserve"> </w:t>
      </w:r>
    </w:p>
    <w:p w14:paraId="604DC84F" w14:textId="5851CB16" w:rsidR="00DD5993" w:rsidRPr="00965FE1" w:rsidRDefault="00DD5993" w:rsidP="00DD5993">
      <w:pPr>
        <w:spacing w:after="0"/>
        <w:ind w:left="720" w:hanging="720"/>
      </w:pPr>
      <w:r w:rsidRPr="00965FE1">
        <w:t xml:space="preserve">Batur, I., Dirks, A. C., Mondal, A., Bhat, C. R., and Pendyala, R. M. (2023). Does ridehailing use affect vehicle ownership or vice versa? An exploratory investigation of the relationship using a latent market segmentation approach. </w:t>
      </w:r>
      <w:r w:rsidRPr="00965FE1">
        <w:rPr>
          <w:i/>
          <w:iCs/>
        </w:rPr>
        <w:t>Transportation Research Record</w:t>
      </w:r>
      <w:r w:rsidRPr="00965FE1">
        <w:t xml:space="preserve">, </w:t>
      </w:r>
      <w:r w:rsidR="00CB28A2" w:rsidRPr="00CB28A2">
        <w:rPr>
          <w:i/>
          <w:iCs/>
        </w:rPr>
        <w:t>2678</w:t>
      </w:r>
      <w:r w:rsidR="00CB28A2">
        <w:t>(</w:t>
      </w:r>
      <w:r w:rsidR="00CB28A2" w:rsidRPr="00CB28A2">
        <w:t>3</w:t>
      </w:r>
      <w:r w:rsidR="00CB28A2">
        <w:t>)</w:t>
      </w:r>
      <w:r w:rsidR="00CB28A2" w:rsidRPr="00CB28A2">
        <w:t>, 252-265</w:t>
      </w:r>
      <w:r w:rsidRPr="00965FE1">
        <w:t>.</w:t>
      </w:r>
    </w:p>
    <w:p w14:paraId="230A6A4C" w14:textId="77777777" w:rsidR="00DD5993" w:rsidRPr="00965FE1" w:rsidRDefault="00DD5993" w:rsidP="00DD5993">
      <w:pPr>
        <w:spacing w:after="0"/>
        <w:ind w:left="720" w:hanging="720"/>
      </w:pPr>
      <w:r w:rsidRPr="00965FE1">
        <w:t>Beckman, M. (2022). Single Fathers Have 8 Times More Wealth Than Single Mothers, Data Shows. NASDAQ. Available at: https://www.nasdaq.com/articles/single-fathers-have-8- times-more-wealth-than-single-mothers-data-shows. Accessed on May 30, 2023.</w:t>
      </w:r>
    </w:p>
    <w:p w14:paraId="619CB927" w14:textId="77777777" w:rsidR="00DD5993" w:rsidRPr="00965FE1" w:rsidRDefault="00DD5993" w:rsidP="00DD5993">
      <w:pPr>
        <w:spacing w:after="0"/>
        <w:ind w:left="720" w:hanging="720"/>
        <w:rPr>
          <w:color w:val="222222"/>
          <w:shd w:val="clear" w:color="auto" w:fill="FFFFFF"/>
        </w:rPr>
      </w:pPr>
      <w:r w:rsidRPr="00965FE1">
        <w:t xml:space="preserve">Bhat, C. R. (1997). An endogenous segmentation mode choice model with an application to intercity travel. </w:t>
      </w:r>
      <w:r w:rsidRPr="00965FE1">
        <w:rPr>
          <w:i/>
          <w:iCs/>
        </w:rPr>
        <w:t>Transportation Science</w:t>
      </w:r>
      <w:r w:rsidRPr="004B2796">
        <w:t xml:space="preserve">, </w:t>
      </w:r>
      <w:r w:rsidRPr="00965FE1">
        <w:rPr>
          <w:i/>
          <w:iCs/>
        </w:rPr>
        <w:t>31</w:t>
      </w:r>
      <w:r w:rsidRPr="00965FE1">
        <w:t>(1), 34-48.</w:t>
      </w:r>
    </w:p>
    <w:p w14:paraId="5477FB50" w14:textId="31A71560" w:rsidR="00DD5993" w:rsidRPr="00965FE1" w:rsidRDefault="00DD5993" w:rsidP="00DD5993">
      <w:pPr>
        <w:spacing w:after="0"/>
        <w:ind w:left="720" w:hanging="720"/>
        <w:rPr>
          <w:color w:val="222222"/>
          <w:shd w:val="clear" w:color="auto" w:fill="FFFFFF"/>
        </w:rPr>
      </w:pPr>
      <w:r w:rsidRPr="00965FE1">
        <w:rPr>
          <w:color w:val="222222"/>
          <w:shd w:val="clear" w:color="auto" w:fill="FFFFFF"/>
        </w:rPr>
        <w:t>Bhat, C. R. (2014). The composite marginal likelihood (CML) inference approach with applications to discrete and mixed dependent variable models. </w:t>
      </w:r>
      <w:r w:rsidRPr="00965FE1">
        <w:rPr>
          <w:i/>
          <w:iCs/>
          <w:color w:val="222222"/>
          <w:shd w:val="clear" w:color="auto" w:fill="FFFFFF"/>
        </w:rPr>
        <w:t>Foundations and Trends in Econometrics</w:t>
      </w:r>
      <w:r w:rsidRPr="00965FE1">
        <w:rPr>
          <w:color w:val="222222"/>
          <w:shd w:val="clear" w:color="auto" w:fill="FFFFFF"/>
        </w:rPr>
        <w:t>, </w:t>
      </w:r>
      <w:r w:rsidRPr="00965FE1">
        <w:rPr>
          <w:i/>
          <w:iCs/>
          <w:color w:val="222222"/>
          <w:shd w:val="clear" w:color="auto" w:fill="FFFFFF"/>
        </w:rPr>
        <w:t>7</w:t>
      </w:r>
      <w:r w:rsidRPr="00965FE1">
        <w:rPr>
          <w:color w:val="222222"/>
          <w:shd w:val="clear" w:color="auto" w:fill="FFFFFF"/>
        </w:rPr>
        <w:t>(1), 1-117.</w:t>
      </w:r>
    </w:p>
    <w:p w14:paraId="1479E9FA" w14:textId="77777777" w:rsidR="00CB28A2" w:rsidRPr="00965FE1" w:rsidRDefault="00CB28A2" w:rsidP="00CB28A2">
      <w:pPr>
        <w:spacing w:after="0"/>
        <w:ind w:left="720" w:hanging="720"/>
        <w:rPr>
          <w:color w:val="222222"/>
          <w:shd w:val="clear" w:color="auto" w:fill="FFFFFF"/>
        </w:rPr>
      </w:pPr>
      <w:r w:rsidRPr="00965FE1">
        <w:rPr>
          <w:color w:val="222222"/>
          <w:shd w:val="clear" w:color="auto" w:fill="FFFFFF"/>
        </w:rPr>
        <w:t>Bhat, C. R., and Koppelman, F. S. (1993). A conceptual framework of individual activity program generation.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27</w:t>
      </w:r>
      <w:r w:rsidRPr="00965FE1">
        <w:rPr>
          <w:color w:val="222222"/>
          <w:shd w:val="clear" w:color="auto" w:fill="FFFFFF"/>
        </w:rPr>
        <w:t>(6), 433-446.</w:t>
      </w:r>
    </w:p>
    <w:p w14:paraId="19F1065B" w14:textId="77777777" w:rsidR="00DD5993" w:rsidRPr="00965FE1" w:rsidRDefault="00DD5993" w:rsidP="00DD5993">
      <w:pPr>
        <w:spacing w:after="0"/>
        <w:ind w:left="720" w:hanging="720"/>
        <w:rPr>
          <w:color w:val="222222"/>
          <w:sz w:val="32"/>
          <w:szCs w:val="32"/>
          <w:shd w:val="clear" w:color="auto" w:fill="FFFFFF"/>
        </w:rPr>
      </w:pPr>
      <w:r w:rsidRPr="00965FE1">
        <w:rPr>
          <w:color w:val="222222"/>
          <w:shd w:val="clear" w:color="auto" w:fill="FFFFFF"/>
        </w:rPr>
        <w:t>Bhat, C. R., Born, K., Sidharthan, R., and Bhat, P. C. (2014). A count data model with endogenous covariates: formulation and application to roadway crash frequency at intersections. </w:t>
      </w:r>
      <w:r w:rsidRPr="00965FE1">
        <w:rPr>
          <w:i/>
          <w:iCs/>
          <w:color w:val="222222"/>
          <w:shd w:val="clear" w:color="auto" w:fill="FFFFFF"/>
        </w:rPr>
        <w:t>Analytic Methods in Accident Research</w:t>
      </w:r>
      <w:r w:rsidRPr="00965FE1">
        <w:rPr>
          <w:color w:val="222222"/>
          <w:shd w:val="clear" w:color="auto" w:fill="FFFFFF"/>
        </w:rPr>
        <w:t>, </w:t>
      </w:r>
      <w:r w:rsidRPr="00965FE1">
        <w:rPr>
          <w:i/>
          <w:iCs/>
          <w:color w:val="222222"/>
          <w:shd w:val="clear" w:color="auto" w:fill="FFFFFF"/>
        </w:rPr>
        <w:t>1</w:t>
      </w:r>
      <w:r w:rsidRPr="00965FE1">
        <w:rPr>
          <w:color w:val="222222"/>
          <w:shd w:val="clear" w:color="auto" w:fill="FFFFFF"/>
        </w:rPr>
        <w:t>, 53-71.</w:t>
      </w:r>
    </w:p>
    <w:p w14:paraId="256D3597"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Bhat, C. R., Paleti, R., and Castro, M. (2015). A new utility‐consistent econometric approach to multivariate count data modeling. </w:t>
      </w:r>
      <w:r w:rsidRPr="00965FE1">
        <w:rPr>
          <w:i/>
          <w:iCs/>
          <w:color w:val="222222"/>
          <w:shd w:val="clear" w:color="auto" w:fill="FFFFFF"/>
        </w:rPr>
        <w:t>Journal of Applied Econometrics</w:t>
      </w:r>
      <w:r w:rsidRPr="00965FE1">
        <w:rPr>
          <w:color w:val="222222"/>
          <w:shd w:val="clear" w:color="auto" w:fill="FFFFFF"/>
        </w:rPr>
        <w:t>, </w:t>
      </w:r>
      <w:r w:rsidRPr="00965FE1">
        <w:rPr>
          <w:i/>
          <w:iCs/>
          <w:color w:val="222222"/>
          <w:shd w:val="clear" w:color="auto" w:fill="FFFFFF"/>
        </w:rPr>
        <w:t>30</w:t>
      </w:r>
      <w:r w:rsidRPr="00965FE1">
        <w:rPr>
          <w:color w:val="222222"/>
          <w:shd w:val="clear" w:color="auto" w:fill="FFFFFF"/>
        </w:rPr>
        <w:t>(5), 806-825.</w:t>
      </w:r>
    </w:p>
    <w:p w14:paraId="69ADB254"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 xml:space="preserve">Bieser, J. C., </w:t>
      </w:r>
      <w:proofErr w:type="spellStart"/>
      <w:r w:rsidRPr="00965FE1">
        <w:rPr>
          <w:color w:val="222222"/>
          <w:shd w:val="clear" w:color="auto" w:fill="FFFFFF"/>
        </w:rPr>
        <w:t>Vaddadi</w:t>
      </w:r>
      <w:proofErr w:type="spellEnd"/>
      <w:r w:rsidRPr="00965FE1">
        <w:rPr>
          <w:color w:val="222222"/>
          <w:shd w:val="clear" w:color="auto" w:fill="FFFFFF"/>
        </w:rPr>
        <w:t xml:space="preserve">, B., </w:t>
      </w:r>
      <w:proofErr w:type="spellStart"/>
      <w:r w:rsidRPr="00965FE1">
        <w:rPr>
          <w:color w:val="222222"/>
          <w:shd w:val="clear" w:color="auto" w:fill="FFFFFF"/>
        </w:rPr>
        <w:t>Kramers</w:t>
      </w:r>
      <w:proofErr w:type="spellEnd"/>
      <w:r w:rsidRPr="00965FE1">
        <w:rPr>
          <w:color w:val="222222"/>
          <w:shd w:val="clear" w:color="auto" w:fill="FFFFFF"/>
        </w:rPr>
        <w:t xml:space="preserve">, A., </w:t>
      </w:r>
      <w:proofErr w:type="spellStart"/>
      <w:r w:rsidRPr="00965FE1">
        <w:rPr>
          <w:color w:val="222222"/>
          <w:shd w:val="clear" w:color="auto" w:fill="FFFFFF"/>
        </w:rPr>
        <w:t>Höjer</w:t>
      </w:r>
      <w:proofErr w:type="spellEnd"/>
      <w:r w:rsidRPr="00965FE1">
        <w:rPr>
          <w:color w:val="222222"/>
          <w:shd w:val="clear" w:color="auto" w:fill="FFFFFF"/>
        </w:rPr>
        <w:t xml:space="preserve">, M., and </w:t>
      </w:r>
      <w:proofErr w:type="spellStart"/>
      <w:r w:rsidRPr="00965FE1">
        <w:rPr>
          <w:color w:val="222222"/>
          <w:shd w:val="clear" w:color="auto" w:fill="FFFFFF"/>
        </w:rPr>
        <w:t>Hilty</w:t>
      </w:r>
      <w:proofErr w:type="spellEnd"/>
      <w:r w:rsidRPr="00965FE1">
        <w:rPr>
          <w:color w:val="222222"/>
          <w:shd w:val="clear" w:color="auto" w:fill="FFFFFF"/>
        </w:rPr>
        <w:t>, L. M. (2021). Impacts of telecommuting on time use and travel: A case study of a neighborhood telecommuting center in Stockholm. </w:t>
      </w:r>
      <w:r w:rsidRPr="00965FE1">
        <w:rPr>
          <w:i/>
          <w:iCs/>
          <w:color w:val="222222"/>
          <w:shd w:val="clear" w:color="auto" w:fill="FFFFFF"/>
        </w:rPr>
        <w:t>Travel Behaviour and Society</w:t>
      </w:r>
      <w:r w:rsidRPr="00965FE1">
        <w:rPr>
          <w:color w:val="222222"/>
          <w:shd w:val="clear" w:color="auto" w:fill="FFFFFF"/>
        </w:rPr>
        <w:t>, </w:t>
      </w:r>
      <w:r w:rsidRPr="00965FE1">
        <w:rPr>
          <w:i/>
          <w:iCs/>
          <w:color w:val="222222"/>
          <w:shd w:val="clear" w:color="auto" w:fill="FFFFFF"/>
        </w:rPr>
        <w:t>23</w:t>
      </w:r>
      <w:r w:rsidRPr="00965FE1">
        <w:rPr>
          <w:color w:val="222222"/>
          <w:shd w:val="clear" w:color="auto" w:fill="FFFFFF"/>
        </w:rPr>
        <w:t>, 157-165.</w:t>
      </w:r>
    </w:p>
    <w:p w14:paraId="479F1D80" w14:textId="77777777" w:rsidR="00DD5993" w:rsidRPr="00965FE1" w:rsidRDefault="00DD5993" w:rsidP="00DD5993">
      <w:pPr>
        <w:spacing w:after="0"/>
        <w:ind w:left="720" w:hanging="720"/>
        <w:rPr>
          <w:color w:val="222222"/>
          <w:shd w:val="clear" w:color="auto" w:fill="FFFFFF"/>
        </w:rPr>
      </w:pPr>
      <w:r w:rsidRPr="00965FE1">
        <w:t xml:space="preserve">Brennan, A., Angus, C., Pryce, R., </w:t>
      </w:r>
      <w:proofErr w:type="spellStart"/>
      <w:r w:rsidRPr="00965FE1">
        <w:t>Buykx</w:t>
      </w:r>
      <w:proofErr w:type="spellEnd"/>
      <w:r w:rsidRPr="00965FE1">
        <w:t xml:space="preserve">, P., </w:t>
      </w:r>
      <w:proofErr w:type="spellStart"/>
      <w:r w:rsidRPr="00965FE1">
        <w:t>Henney</w:t>
      </w:r>
      <w:proofErr w:type="spellEnd"/>
      <w:r w:rsidRPr="00965FE1">
        <w:t xml:space="preserve">, M., Gillespie, D., Holmes, J., and Meier, P. S. (2021). Potential effects of minimum unit pricing at local authority level on alcohol-attributed harms in North West and North East England: A modelling study. </w:t>
      </w:r>
      <w:r w:rsidRPr="00965FE1">
        <w:rPr>
          <w:i/>
          <w:iCs/>
        </w:rPr>
        <w:t>Public Health Research</w:t>
      </w:r>
      <w:r w:rsidRPr="004B2796">
        <w:t>,</w:t>
      </w:r>
      <w:r w:rsidRPr="00965FE1">
        <w:rPr>
          <w:i/>
          <w:iCs/>
        </w:rPr>
        <w:t xml:space="preserve"> 9</w:t>
      </w:r>
      <w:r w:rsidRPr="00965FE1">
        <w:t>(4).</w:t>
      </w:r>
    </w:p>
    <w:p w14:paraId="3E3BA14D" w14:textId="0071C97C" w:rsidR="00DD5993" w:rsidRPr="00965FE1" w:rsidRDefault="00DD5993" w:rsidP="00DD5993">
      <w:pPr>
        <w:spacing w:after="0"/>
        <w:ind w:left="720" w:hanging="720"/>
        <w:rPr>
          <w:color w:val="222222"/>
          <w:shd w:val="clear" w:color="auto" w:fill="FFFFFF"/>
        </w:rPr>
      </w:pPr>
      <w:proofErr w:type="spellStart"/>
      <w:r w:rsidRPr="00965FE1">
        <w:rPr>
          <w:color w:val="222222"/>
          <w:shd w:val="clear" w:color="auto" w:fill="FFFFFF"/>
        </w:rPr>
        <w:t>Bruine</w:t>
      </w:r>
      <w:proofErr w:type="spellEnd"/>
      <w:r w:rsidRPr="00965FE1">
        <w:rPr>
          <w:color w:val="222222"/>
          <w:shd w:val="clear" w:color="auto" w:fill="FFFFFF"/>
        </w:rPr>
        <w:t xml:space="preserve"> de Bruin, W., Parker, A. M., and </w:t>
      </w:r>
      <w:proofErr w:type="spellStart"/>
      <w:r w:rsidRPr="00965FE1">
        <w:rPr>
          <w:color w:val="222222"/>
          <w:shd w:val="clear" w:color="auto" w:fill="FFFFFF"/>
        </w:rPr>
        <w:t>Strough</w:t>
      </w:r>
      <w:proofErr w:type="spellEnd"/>
      <w:r w:rsidRPr="00965FE1">
        <w:rPr>
          <w:color w:val="222222"/>
          <w:shd w:val="clear" w:color="auto" w:fill="FFFFFF"/>
        </w:rPr>
        <w:t>, J. (2020). Age differences in reported social networks and well-being. </w:t>
      </w:r>
      <w:r w:rsidRPr="00965FE1">
        <w:rPr>
          <w:i/>
          <w:iCs/>
          <w:color w:val="222222"/>
          <w:shd w:val="clear" w:color="auto" w:fill="FFFFFF"/>
        </w:rPr>
        <w:t xml:space="preserve">Psychology and </w:t>
      </w:r>
      <w:r w:rsidR="004B2796">
        <w:rPr>
          <w:i/>
          <w:iCs/>
          <w:color w:val="222222"/>
          <w:shd w:val="clear" w:color="auto" w:fill="FFFFFF"/>
        </w:rPr>
        <w:t>A</w:t>
      </w:r>
      <w:r w:rsidRPr="00965FE1">
        <w:rPr>
          <w:i/>
          <w:iCs/>
          <w:color w:val="222222"/>
          <w:shd w:val="clear" w:color="auto" w:fill="FFFFFF"/>
        </w:rPr>
        <w:t>ging</w:t>
      </w:r>
      <w:r w:rsidRPr="00965FE1">
        <w:rPr>
          <w:color w:val="222222"/>
          <w:shd w:val="clear" w:color="auto" w:fill="FFFFFF"/>
        </w:rPr>
        <w:t>, </w:t>
      </w:r>
      <w:r w:rsidRPr="00965FE1">
        <w:rPr>
          <w:i/>
          <w:iCs/>
          <w:color w:val="222222"/>
          <w:shd w:val="clear" w:color="auto" w:fill="FFFFFF"/>
        </w:rPr>
        <w:t>35</w:t>
      </w:r>
      <w:r w:rsidRPr="00965FE1">
        <w:rPr>
          <w:color w:val="222222"/>
          <w:shd w:val="clear" w:color="auto" w:fill="FFFFFF"/>
        </w:rPr>
        <w:t>(2), 159.</w:t>
      </w:r>
    </w:p>
    <w:p w14:paraId="10A7CCBC"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Budnitz, H., </w:t>
      </w:r>
      <w:proofErr w:type="spellStart"/>
      <w:r w:rsidRPr="00965FE1">
        <w:rPr>
          <w:color w:val="222222"/>
          <w:shd w:val="clear" w:color="auto" w:fill="FFFFFF"/>
        </w:rPr>
        <w:t>Tranos</w:t>
      </w:r>
      <w:proofErr w:type="spellEnd"/>
      <w:r w:rsidRPr="00965FE1">
        <w:rPr>
          <w:color w:val="222222"/>
          <w:shd w:val="clear" w:color="auto" w:fill="FFFFFF"/>
        </w:rPr>
        <w:t>, E., and Chapman, L. (2020). Telecommuting and other trips: an English case study. </w:t>
      </w:r>
      <w:r w:rsidRPr="00965FE1">
        <w:rPr>
          <w:i/>
          <w:iCs/>
          <w:color w:val="222222"/>
          <w:shd w:val="clear" w:color="auto" w:fill="FFFFFF"/>
        </w:rPr>
        <w:t>Journal of Transport Geography</w:t>
      </w:r>
      <w:r w:rsidRPr="00965FE1">
        <w:rPr>
          <w:color w:val="222222"/>
          <w:shd w:val="clear" w:color="auto" w:fill="FFFFFF"/>
        </w:rPr>
        <w:t>, </w:t>
      </w:r>
      <w:r w:rsidRPr="00965FE1">
        <w:rPr>
          <w:i/>
          <w:iCs/>
          <w:color w:val="222222"/>
          <w:shd w:val="clear" w:color="auto" w:fill="FFFFFF"/>
        </w:rPr>
        <w:t>85</w:t>
      </w:r>
      <w:r w:rsidRPr="00965FE1">
        <w:rPr>
          <w:color w:val="222222"/>
          <w:shd w:val="clear" w:color="auto" w:fill="FFFFFF"/>
        </w:rPr>
        <w:t>, 102713.</w:t>
      </w:r>
    </w:p>
    <w:p w14:paraId="1065FFE6" w14:textId="43A66C38" w:rsidR="00DD5993" w:rsidRPr="00965FE1" w:rsidRDefault="00DD5993" w:rsidP="00DD5993">
      <w:pPr>
        <w:spacing w:after="0"/>
        <w:ind w:left="720" w:hanging="720"/>
      </w:pPr>
      <w:r w:rsidRPr="00965FE1">
        <w:t xml:space="preserve">Caldarola, B., and Sorrell, S. (2022). Do teleworkers travel less? Evidence from the English national travel survey. </w:t>
      </w:r>
      <w:r w:rsidRPr="00965FE1">
        <w:rPr>
          <w:i/>
          <w:iCs/>
        </w:rPr>
        <w:t>Transportation Research Part A</w:t>
      </w:r>
      <w:r w:rsidR="004B2796">
        <w:rPr>
          <w:i/>
          <w:iCs/>
        </w:rPr>
        <w:t xml:space="preserve">: </w:t>
      </w:r>
      <w:r w:rsidR="004B2796" w:rsidRPr="00965FE1">
        <w:rPr>
          <w:i/>
          <w:iCs/>
          <w:color w:val="222222"/>
          <w:shd w:val="clear" w:color="auto" w:fill="FFFFFF"/>
        </w:rPr>
        <w:t>Policy and Practice</w:t>
      </w:r>
      <w:r w:rsidRPr="00965FE1">
        <w:t>, 159, 282-303.</w:t>
      </w:r>
    </w:p>
    <w:p w14:paraId="3416C57D" w14:textId="3EC663C3" w:rsidR="00DD5993" w:rsidRPr="00965FE1" w:rsidRDefault="00DD5993" w:rsidP="00DD5993">
      <w:pPr>
        <w:spacing w:after="0"/>
        <w:ind w:left="720" w:hanging="720"/>
        <w:rPr>
          <w:sz w:val="32"/>
          <w:szCs w:val="32"/>
        </w:rPr>
      </w:pPr>
      <w:r w:rsidRPr="00965FE1">
        <w:rPr>
          <w:color w:val="222222"/>
          <w:shd w:val="clear" w:color="auto" w:fill="FFFFFF"/>
        </w:rPr>
        <w:t>Castro, M., Paleti, R., and Bhat, C. R. (2012). A latent variable representation of count data models to accommodate spatial and temporal dependence: Application to predicting crash frequency at intersections. </w:t>
      </w:r>
      <w:r w:rsidRPr="00965FE1">
        <w:rPr>
          <w:i/>
          <w:iCs/>
          <w:color w:val="222222"/>
          <w:shd w:val="clear" w:color="auto" w:fill="FFFFFF"/>
        </w:rPr>
        <w:t xml:space="preserve">Transportation </w:t>
      </w:r>
      <w:r w:rsidR="004B2796">
        <w:rPr>
          <w:i/>
          <w:iCs/>
          <w:color w:val="222222"/>
          <w:shd w:val="clear" w:color="auto" w:fill="FFFFFF"/>
        </w:rPr>
        <w:t>R</w:t>
      </w:r>
      <w:r w:rsidRPr="00965FE1">
        <w:rPr>
          <w:i/>
          <w:iCs/>
          <w:color w:val="222222"/>
          <w:shd w:val="clear" w:color="auto" w:fill="FFFFFF"/>
        </w:rPr>
        <w:t xml:space="preserve">esearch </w:t>
      </w:r>
      <w:r w:rsidR="004B2796">
        <w:rPr>
          <w:i/>
          <w:iCs/>
          <w:color w:val="222222"/>
          <w:shd w:val="clear" w:color="auto" w:fill="FFFFFF"/>
        </w:rPr>
        <w:t>P</w:t>
      </w:r>
      <w:r w:rsidRPr="00965FE1">
        <w:rPr>
          <w:i/>
          <w:iCs/>
          <w:color w:val="222222"/>
          <w:shd w:val="clear" w:color="auto" w:fill="FFFFFF"/>
        </w:rPr>
        <w:t xml:space="preserve">art B: </w:t>
      </w:r>
      <w:r w:rsidR="004B2796">
        <w:rPr>
          <w:i/>
          <w:iCs/>
          <w:color w:val="222222"/>
          <w:shd w:val="clear" w:color="auto" w:fill="FFFFFF"/>
        </w:rPr>
        <w:t>M</w:t>
      </w:r>
      <w:r w:rsidRPr="00965FE1">
        <w:rPr>
          <w:i/>
          <w:iCs/>
          <w:color w:val="222222"/>
          <w:shd w:val="clear" w:color="auto" w:fill="FFFFFF"/>
        </w:rPr>
        <w:t>ethodological</w:t>
      </w:r>
      <w:r w:rsidRPr="00965FE1">
        <w:rPr>
          <w:color w:val="222222"/>
          <w:shd w:val="clear" w:color="auto" w:fill="FFFFFF"/>
        </w:rPr>
        <w:t>, </w:t>
      </w:r>
      <w:r w:rsidRPr="00965FE1">
        <w:rPr>
          <w:i/>
          <w:iCs/>
          <w:color w:val="222222"/>
          <w:shd w:val="clear" w:color="auto" w:fill="FFFFFF"/>
        </w:rPr>
        <w:t>46</w:t>
      </w:r>
      <w:r w:rsidRPr="00965FE1">
        <w:rPr>
          <w:color w:val="222222"/>
          <w:shd w:val="clear" w:color="auto" w:fill="FFFFFF"/>
        </w:rPr>
        <w:t>(1), 253-272.</w:t>
      </w:r>
    </w:p>
    <w:p w14:paraId="68A32952"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Cerqueira, E. D. V., Motte-</w:t>
      </w:r>
      <w:proofErr w:type="spellStart"/>
      <w:r w:rsidRPr="00965FE1">
        <w:rPr>
          <w:color w:val="222222"/>
          <w:shd w:val="clear" w:color="auto" w:fill="FFFFFF"/>
        </w:rPr>
        <w:t>Baumvol</w:t>
      </w:r>
      <w:proofErr w:type="spellEnd"/>
      <w:r w:rsidRPr="00965FE1">
        <w:rPr>
          <w:color w:val="222222"/>
          <w:shd w:val="clear" w:color="auto" w:fill="FFFFFF"/>
        </w:rPr>
        <w:t xml:space="preserve">, B., </w:t>
      </w:r>
      <w:proofErr w:type="spellStart"/>
      <w:r w:rsidRPr="00965FE1">
        <w:rPr>
          <w:color w:val="222222"/>
          <w:shd w:val="clear" w:color="auto" w:fill="FFFFFF"/>
        </w:rPr>
        <w:t>Chevallier</w:t>
      </w:r>
      <w:proofErr w:type="spellEnd"/>
      <w:r w:rsidRPr="00965FE1">
        <w:rPr>
          <w:color w:val="222222"/>
          <w:shd w:val="clear" w:color="auto" w:fill="FFFFFF"/>
        </w:rPr>
        <w:t>, L. B., and Bonin, O. (2020). Does working from home reduce CO2 emissions? An analysis of travel patterns as dictated by workplaces. </w:t>
      </w:r>
      <w:r w:rsidRPr="00965FE1">
        <w:rPr>
          <w:i/>
          <w:iCs/>
          <w:color w:val="222222"/>
          <w:shd w:val="clear" w:color="auto" w:fill="FFFFFF"/>
        </w:rPr>
        <w:t>Transportation Research Part D: Transport and Environment</w:t>
      </w:r>
      <w:r w:rsidRPr="00965FE1">
        <w:rPr>
          <w:color w:val="222222"/>
          <w:shd w:val="clear" w:color="auto" w:fill="FFFFFF"/>
        </w:rPr>
        <w:t>, </w:t>
      </w:r>
      <w:r w:rsidRPr="00965FE1">
        <w:rPr>
          <w:i/>
          <w:iCs/>
          <w:color w:val="222222"/>
          <w:shd w:val="clear" w:color="auto" w:fill="FFFFFF"/>
        </w:rPr>
        <w:t>83</w:t>
      </w:r>
      <w:r w:rsidRPr="00965FE1">
        <w:rPr>
          <w:color w:val="222222"/>
          <w:shd w:val="clear" w:color="auto" w:fill="FFFFFF"/>
        </w:rPr>
        <w:t>, 102338.</w:t>
      </w:r>
    </w:p>
    <w:p w14:paraId="5675119E" w14:textId="77777777" w:rsidR="00DD5993" w:rsidRPr="00965FE1" w:rsidRDefault="00DD5993" w:rsidP="00DD5993">
      <w:pPr>
        <w:spacing w:after="0"/>
        <w:ind w:left="720" w:hanging="720"/>
      </w:pPr>
      <w:r w:rsidRPr="00965FE1">
        <w:t xml:space="preserve">Coate, P. (2021). Remote Work Before, During, and After the Pandemic. NCCI. Available at: </w:t>
      </w:r>
      <w:hyperlink r:id="rId209" w:history="1">
        <w:r w:rsidRPr="00965FE1">
          <w:rPr>
            <w:rStyle w:val="Hyperlink"/>
          </w:rPr>
          <w:t>https://www.ncci.com/SecureDocuments/QEB/QEB_Q4_2020_RemoteWork.html</w:t>
        </w:r>
      </w:hyperlink>
      <w:r w:rsidRPr="00965FE1">
        <w:t>. Accessed on: January 25, 2024.</w:t>
      </w:r>
    </w:p>
    <w:p w14:paraId="6431CAA4" w14:textId="77777777" w:rsidR="00DD5993" w:rsidRPr="00965FE1" w:rsidRDefault="00DD5993" w:rsidP="00DD5993">
      <w:pPr>
        <w:spacing w:after="0"/>
        <w:ind w:left="720" w:hanging="720"/>
        <w:rPr>
          <w:color w:val="222222"/>
          <w:shd w:val="clear" w:color="auto" w:fill="FFFFFF"/>
        </w:rPr>
      </w:pPr>
      <w:bookmarkStart w:id="26" w:name="_Hlk173541546"/>
      <w:r w:rsidRPr="00965FE1">
        <w:rPr>
          <w:color w:val="222222"/>
          <w:shd w:val="clear" w:color="auto" w:fill="FFFFFF"/>
        </w:rPr>
        <w:t xml:space="preserve">de Abreu e Silva, J. </w:t>
      </w:r>
      <w:bookmarkEnd w:id="26"/>
      <w:r w:rsidRPr="00965FE1">
        <w:rPr>
          <w:color w:val="222222"/>
          <w:shd w:val="clear" w:color="auto" w:fill="FFFFFF"/>
        </w:rPr>
        <w:t>(2022). Residential preferences, telework perceptions, and the intention to telework: insights from the Lisbon Metropolitan Area during the COVID‐19 pandemic. </w:t>
      </w:r>
      <w:r w:rsidRPr="00965FE1">
        <w:rPr>
          <w:i/>
          <w:iCs/>
          <w:color w:val="222222"/>
          <w:shd w:val="clear" w:color="auto" w:fill="FFFFFF"/>
        </w:rPr>
        <w:t>Regional Science Policy and Practice</w:t>
      </w:r>
      <w:r w:rsidRPr="00965FE1">
        <w:rPr>
          <w:color w:val="222222"/>
          <w:shd w:val="clear" w:color="auto" w:fill="FFFFFF"/>
        </w:rPr>
        <w:t>, </w:t>
      </w:r>
      <w:r w:rsidRPr="00965FE1">
        <w:rPr>
          <w:i/>
          <w:iCs/>
          <w:color w:val="222222"/>
          <w:shd w:val="clear" w:color="auto" w:fill="FFFFFF"/>
        </w:rPr>
        <w:t>14</w:t>
      </w:r>
      <w:r w:rsidRPr="00965FE1">
        <w:rPr>
          <w:color w:val="222222"/>
          <w:shd w:val="clear" w:color="auto" w:fill="FFFFFF"/>
        </w:rPr>
        <w:t>, 142-161.</w:t>
      </w:r>
    </w:p>
    <w:p w14:paraId="6537D329"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de Abreu e Silva, J., and Melo, P. C. (2018). Home telework, travel behavior, and land-use patterns. </w:t>
      </w:r>
      <w:r w:rsidRPr="00965FE1">
        <w:rPr>
          <w:i/>
          <w:iCs/>
          <w:color w:val="222222"/>
          <w:shd w:val="clear" w:color="auto" w:fill="FFFFFF"/>
        </w:rPr>
        <w:t>Journal of Transport and Land Use</w:t>
      </w:r>
      <w:r w:rsidRPr="00965FE1">
        <w:rPr>
          <w:color w:val="222222"/>
          <w:shd w:val="clear" w:color="auto" w:fill="FFFFFF"/>
        </w:rPr>
        <w:t>, </w:t>
      </w:r>
      <w:r w:rsidRPr="00965FE1">
        <w:rPr>
          <w:i/>
          <w:iCs/>
          <w:color w:val="222222"/>
          <w:shd w:val="clear" w:color="auto" w:fill="FFFFFF"/>
        </w:rPr>
        <w:t>11</w:t>
      </w:r>
      <w:r w:rsidRPr="00965FE1">
        <w:rPr>
          <w:color w:val="222222"/>
          <w:shd w:val="clear" w:color="auto" w:fill="FFFFFF"/>
        </w:rPr>
        <w:t>(1), 419-441.</w:t>
      </w:r>
    </w:p>
    <w:p w14:paraId="29ACC714" w14:textId="77777777" w:rsidR="00DD5993" w:rsidRPr="00965FE1" w:rsidRDefault="00DD5993" w:rsidP="00DD5993">
      <w:pPr>
        <w:spacing w:after="0"/>
        <w:ind w:left="720" w:hanging="720"/>
        <w:rPr>
          <w:color w:val="222222"/>
          <w:sz w:val="32"/>
          <w:szCs w:val="32"/>
          <w:shd w:val="clear" w:color="auto" w:fill="FFFFFF"/>
        </w:rPr>
      </w:pPr>
      <w:r w:rsidRPr="00965FE1">
        <w:rPr>
          <w:color w:val="222222"/>
          <w:shd w:val="clear" w:color="auto" w:fill="FFFFFF"/>
        </w:rPr>
        <w:t>Deka, D. (2017). The effect of mobility loss and car ownership on the feeling of depression, happiness, and loneliness. </w:t>
      </w:r>
      <w:r w:rsidRPr="00965FE1">
        <w:rPr>
          <w:i/>
          <w:iCs/>
          <w:color w:val="222222"/>
          <w:shd w:val="clear" w:color="auto" w:fill="FFFFFF"/>
        </w:rPr>
        <w:t>Journal of Transport and Health</w:t>
      </w:r>
      <w:r w:rsidRPr="00965FE1">
        <w:rPr>
          <w:color w:val="222222"/>
          <w:shd w:val="clear" w:color="auto" w:fill="FFFFFF"/>
        </w:rPr>
        <w:t>, </w:t>
      </w:r>
      <w:r w:rsidRPr="00965FE1">
        <w:rPr>
          <w:i/>
          <w:iCs/>
          <w:color w:val="222222"/>
          <w:shd w:val="clear" w:color="auto" w:fill="FFFFFF"/>
        </w:rPr>
        <w:t>4</w:t>
      </w:r>
      <w:r w:rsidRPr="00965FE1">
        <w:rPr>
          <w:color w:val="222222"/>
          <w:shd w:val="clear" w:color="auto" w:fill="FFFFFF"/>
        </w:rPr>
        <w:t>, 99-107.</w:t>
      </w:r>
    </w:p>
    <w:p w14:paraId="645E156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Del Boca, D., </w:t>
      </w:r>
      <w:proofErr w:type="spellStart"/>
      <w:r w:rsidRPr="00965FE1">
        <w:rPr>
          <w:color w:val="222222"/>
          <w:shd w:val="clear" w:color="auto" w:fill="FFFFFF"/>
        </w:rPr>
        <w:t>Oggero</w:t>
      </w:r>
      <w:proofErr w:type="spellEnd"/>
      <w:r w:rsidRPr="00965FE1">
        <w:rPr>
          <w:color w:val="222222"/>
          <w:shd w:val="clear" w:color="auto" w:fill="FFFFFF"/>
        </w:rPr>
        <w:t xml:space="preserve">, N., </w:t>
      </w:r>
      <w:proofErr w:type="spellStart"/>
      <w:r w:rsidRPr="00965FE1">
        <w:rPr>
          <w:color w:val="222222"/>
          <w:shd w:val="clear" w:color="auto" w:fill="FFFFFF"/>
        </w:rPr>
        <w:t>Profeta</w:t>
      </w:r>
      <w:proofErr w:type="spellEnd"/>
      <w:r w:rsidRPr="00965FE1">
        <w:rPr>
          <w:color w:val="222222"/>
          <w:shd w:val="clear" w:color="auto" w:fill="FFFFFF"/>
        </w:rPr>
        <w:t xml:space="preserve">, P., and Rossi, M. (2020). Women’s and men’s work, housework and childcare, before and during COVID-19. </w:t>
      </w:r>
      <w:r w:rsidRPr="00965FE1">
        <w:rPr>
          <w:i/>
          <w:iCs/>
          <w:color w:val="222222"/>
          <w:shd w:val="clear" w:color="auto" w:fill="FFFFFF"/>
        </w:rPr>
        <w:t>Review of Economics of the Household, 18</w:t>
      </w:r>
      <w:r w:rsidRPr="00965FE1">
        <w:rPr>
          <w:color w:val="222222"/>
          <w:shd w:val="clear" w:color="auto" w:fill="FFFFFF"/>
        </w:rPr>
        <w:t>, 1001-1017.</w:t>
      </w:r>
    </w:p>
    <w:p w14:paraId="08688AD5" w14:textId="77777777" w:rsidR="00DD5993" w:rsidRPr="00965FE1" w:rsidRDefault="00DD5993" w:rsidP="00DD5993">
      <w:pPr>
        <w:spacing w:after="0"/>
        <w:ind w:left="720" w:hanging="720"/>
      </w:pPr>
      <w:r w:rsidRPr="00965FE1">
        <w:t xml:space="preserve">DeVos, D., van Ham, M., and </w:t>
      </w:r>
      <w:proofErr w:type="spellStart"/>
      <w:r w:rsidRPr="00965FE1">
        <w:t>Meijers</w:t>
      </w:r>
      <w:proofErr w:type="spellEnd"/>
      <w:r w:rsidRPr="00965FE1">
        <w:t>, E. J. (2019). Working from home and commuting: Heterogeneity over time, space, and occupations. IZA Discussion Paper No. 12578, IZA Institute of Labor Economics, Bonn, Germany</w:t>
      </w:r>
    </w:p>
    <w:p w14:paraId="2DA2C281" w14:textId="77777777" w:rsidR="00DD5993" w:rsidRPr="00965FE1" w:rsidRDefault="00DD5993" w:rsidP="00DD5993">
      <w:pPr>
        <w:spacing w:after="0"/>
        <w:ind w:left="720" w:hanging="720"/>
      </w:pPr>
      <w:r w:rsidRPr="00965FE1">
        <w:t xml:space="preserve">Dianat, L., Habib, K. N., and Miller, E. J. (2020). Modeling and forecasting daily non-work/school activity patterns in an activity-based model using skeleton schedule constraints. </w:t>
      </w:r>
      <w:r w:rsidRPr="00965FE1">
        <w:rPr>
          <w:i/>
          <w:iCs/>
        </w:rPr>
        <w:t>Transportation Research Part A: Policy and Practice, 133</w:t>
      </w:r>
      <w:r w:rsidRPr="00965FE1">
        <w:t>, 337-352.</w:t>
      </w:r>
    </w:p>
    <w:p w14:paraId="580CA062"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Dias, F. F., Lavieri, P. S., Sharda, S., Khoeini, S., Bhat, C. R., Pendyala, R. M., Pinjari, A. R., Ramadurai, G., and Srinivasan, K. K. (2020). A comparison of online and in-person activity engagement: The case of shopping and eating meals. </w:t>
      </w:r>
      <w:r w:rsidRPr="00965FE1">
        <w:rPr>
          <w:i/>
          <w:iCs/>
          <w:color w:val="222222"/>
          <w:shd w:val="clear" w:color="auto" w:fill="FFFFFF"/>
        </w:rPr>
        <w:t>Transportation Research Part C: Emerging Technologies</w:t>
      </w:r>
      <w:r w:rsidRPr="00965FE1">
        <w:rPr>
          <w:color w:val="222222"/>
          <w:shd w:val="clear" w:color="auto" w:fill="FFFFFF"/>
        </w:rPr>
        <w:t>, </w:t>
      </w:r>
      <w:r w:rsidRPr="00965FE1">
        <w:rPr>
          <w:i/>
          <w:iCs/>
          <w:color w:val="222222"/>
          <w:shd w:val="clear" w:color="auto" w:fill="FFFFFF"/>
        </w:rPr>
        <w:t>114</w:t>
      </w:r>
      <w:r w:rsidRPr="00965FE1">
        <w:rPr>
          <w:color w:val="222222"/>
          <w:shd w:val="clear" w:color="auto" w:fill="FFFFFF"/>
        </w:rPr>
        <w:t>, 643-656.</w:t>
      </w:r>
    </w:p>
    <w:p w14:paraId="7771C16A"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Diaz-Gutierrez, J. M., Mohammadi-</w:t>
      </w:r>
      <w:proofErr w:type="spellStart"/>
      <w:r w:rsidRPr="00965FE1">
        <w:rPr>
          <w:color w:val="222222"/>
          <w:shd w:val="clear" w:color="auto" w:fill="FFFFFF"/>
        </w:rPr>
        <w:t>Mavi</w:t>
      </w:r>
      <w:proofErr w:type="spellEnd"/>
      <w:r w:rsidRPr="00965FE1">
        <w:rPr>
          <w:color w:val="222222"/>
          <w:shd w:val="clear" w:color="auto" w:fill="FFFFFF"/>
        </w:rPr>
        <w:t>, H., and Ranjbari, A. (2023). COVID-19 Impacts on Online and In-Store Shopping Behaviors: Why they Happened and Whether they Will Last Post Pandemic. </w:t>
      </w:r>
      <w:r w:rsidRPr="00965FE1">
        <w:rPr>
          <w:i/>
          <w:iCs/>
          <w:color w:val="222222"/>
          <w:shd w:val="clear" w:color="auto" w:fill="FFFFFF"/>
        </w:rPr>
        <w:t>Transportation Research Record</w:t>
      </w:r>
      <w:r w:rsidRPr="00965FE1">
        <w:rPr>
          <w:color w:val="222222"/>
          <w:shd w:val="clear" w:color="auto" w:fill="FFFFFF"/>
        </w:rPr>
        <w:t>, 03611981231155169.</w:t>
      </w:r>
    </w:p>
    <w:p w14:paraId="6215FC56"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Duque, M., Pink, S., </w:t>
      </w:r>
      <w:proofErr w:type="spellStart"/>
      <w:r w:rsidRPr="00965FE1">
        <w:rPr>
          <w:color w:val="222222"/>
          <w:shd w:val="clear" w:color="auto" w:fill="FFFFFF"/>
        </w:rPr>
        <w:t>Sumartojo</w:t>
      </w:r>
      <w:proofErr w:type="spellEnd"/>
      <w:r w:rsidRPr="00965FE1">
        <w:rPr>
          <w:color w:val="222222"/>
          <w:shd w:val="clear" w:color="auto" w:fill="FFFFFF"/>
        </w:rPr>
        <w:t>, S., and Vaughan, L. (2019). Homeliness in health care: the role of everyday designing. </w:t>
      </w:r>
      <w:r w:rsidRPr="00965FE1">
        <w:rPr>
          <w:i/>
          <w:iCs/>
          <w:color w:val="222222"/>
          <w:shd w:val="clear" w:color="auto" w:fill="FFFFFF"/>
        </w:rPr>
        <w:t>Home Cultures</w:t>
      </w:r>
      <w:r w:rsidRPr="00965FE1">
        <w:rPr>
          <w:color w:val="222222"/>
          <w:shd w:val="clear" w:color="auto" w:fill="FFFFFF"/>
        </w:rPr>
        <w:t>, </w:t>
      </w:r>
      <w:r w:rsidRPr="00965FE1">
        <w:rPr>
          <w:i/>
          <w:iCs/>
          <w:color w:val="222222"/>
          <w:shd w:val="clear" w:color="auto" w:fill="FFFFFF"/>
        </w:rPr>
        <w:t>16</w:t>
      </w:r>
      <w:r w:rsidRPr="00965FE1">
        <w:rPr>
          <w:color w:val="222222"/>
          <w:shd w:val="clear" w:color="auto" w:fill="FFFFFF"/>
        </w:rPr>
        <w:t>(3), 213-232.</w:t>
      </w:r>
    </w:p>
    <w:p w14:paraId="007E60C3"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Ettema, D. (2010). The impact of telecommuting on residential relocation and residential preferences: a latent class modeling approach. </w:t>
      </w:r>
      <w:r w:rsidRPr="00965FE1">
        <w:rPr>
          <w:i/>
          <w:iCs/>
          <w:color w:val="222222"/>
          <w:shd w:val="clear" w:color="auto" w:fill="FFFFFF"/>
        </w:rPr>
        <w:t>Journal of Transport and Land Use</w:t>
      </w:r>
      <w:r w:rsidRPr="00965FE1">
        <w:rPr>
          <w:color w:val="222222"/>
          <w:shd w:val="clear" w:color="auto" w:fill="FFFFFF"/>
        </w:rPr>
        <w:t>, </w:t>
      </w:r>
      <w:r w:rsidRPr="00965FE1">
        <w:rPr>
          <w:i/>
          <w:iCs/>
          <w:color w:val="222222"/>
          <w:shd w:val="clear" w:color="auto" w:fill="FFFFFF"/>
        </w:rPr>
        <w:t>3</w:t>
      </w:r>
      <w:r w:rsidRPr="00965FE1">
        <w:rPr>
          <w:color w:val="222222"/>
          <w:shd w:val="clear" w:color="auto" w:fill="FFFFFF"/>
        </w:rPr>
        <w:t>(1), 7-24.</w:t>
      </w:r>
    </w:p>
    <w:p w14:paraId="0B52D370" w14:textId="77777777" w:rsidR="00DD5993" w:rsidRPr="00965FE1" w:rsidRDefault="00DD5993" w:rsidP="00DD5993">
      <w:pPr>
        <w:spacing w:after="0"/>
        <w:ind w:left="720" w:hanging="720"/>
      </w:pPr>
      <w:r w:rsidRPr="00965FE1">
        <w:t xml:space="preserve">Federal Highway Administration (FHWA) (2017). 2017 National Household Travel Survey Core Data, U.S. Department of Transportation, Washington, DC. Available at: </w:t>
      </w:r>
      <w:hyperlink r:id="rId210" w:history="1">
        <w:r w:rsidRPr="00965FE1">
          <w:rPr>
            <w:rStyle w:val="Hyperlink"/>
          </w:rPr>
          <w:t>http://nhts.ornl.gov</w:t>
        </w:r>
      </w:hyperlink>
      <w:r w:rsidRPr="00965FE1">
        <w:t>. Accessed on December 19, 2023.</w:t>
      </w:r>
    </w:p>
    <w:p w14:paraId="038624D1" w14:textId="77777777" w:rsidR="00DD5993" w:rsidRPr="00965FE1" w:rsidRDefault="00DD5993" w:rsidP="00DD5993">
      <w:pPr>
        <w:spacing w:after="0"/>
        <w:ind w:left="720" w:hanging="720"/>
      </w:pPr>
      <w:r w:rsidRPr="00965FE1">
        <w:t xml:space="preserve">Federal Highway Administration (FHWA) (2022). 2022 NextGen National Household Travel Survey Core Data, U.S. Department of Transportation, Washington, DC. Available at: </w:t>
      </w:r>
      <w:hyperlink r:id="rId211" w:history="1">
        <w:r w:rsidRPr="00965FE1">
          <w:rPr>
            <w:rStyle w:val="Hyperlink"/>
          </w:rPr>
          <w:t>http://nhts.ornl.gov</w:t>
        </w:r>
      </w:hyperlink>
      <w:r w:rsidRPr="00965FE1">
        <w:t>. Accessed on December 19, 2023.</w:t>
      </w:r>
    </w:p>
    <w:p w14:paraId="4C3F1C96"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Feller, H., and Baker, N. (2021). Importance of Leisure During Aging: Prevalence of Participation in Meaningful Activities for Older Adults With and Without Pain. </w:t>
      </w:r>
      <w:r w:rsidRPr="00965FE1">
        <w:rPr>
          <w:i/>
          <w:iCs/>
          <w:color w:val="222222"/>
          <w:shd w:val="clear" w:color="auto" w:fill="FFFFFF"/>
        </w:rPr>
        <w:t>American Journal of Occupational Therapy</w:t>
      </w:r>
      <w:r w:rsidRPr="00965FE1">
        <w:rPr>
          <w:color w:val="222222"/>
          <w:shd w:val="clear" w:color="auto" w:fill="FFFFFF"/>
        </w:rPr>
        <w:t>, </w:t>
      </w:r>
      <w:r w:rsidRPr="00965FE1">
        <w:rPr>
          <w:i/>
          <w:iCs/>
          <w:color w:val="222222"/>
          <w:shd w:val="clear" w:color="auto" w:fill="FFFFFF"/>
        </w:rPr>
        <w:t>75</w:t>
      </w:r>
      <w:r w:rsidRPr="00965FE1">
        <w:rPr>
          <w:color w:val="222222"/>
          <w:shd w:val="clear" w:color="auto" w:fill="FFFFFF"/>
        </w:rPr>
        <w:t>.</w:t>
      </w:r>
    </w:p>
    <w:p w14:paraId="2C388098" w14:textId="77777777" w:rsidR="00DD5993" w:rsidRPr="00965FE1" w:rsidRDefault="00DD5993" w:rsidP="00DD5993">
      <w:pPr>
        <w:spacing w:after="0"/>
        <w:ind w:left="720" w:hanging="720"/>
      </w:pPr>
      <w:r w:rsidRPr="00965FE1">
        <w:t>Flynn, J. (2023). 25 Trending Remote Work Statistics [2023]: Facts, Trends, and Projections. Zippia. Available at: https://www.zippia.com/advice/remote-workstatistics/#:~:text=66%25%20of%20U.S.%20employees%20work,5.8%20remote%20work days%20per%20month. Accessed on: June 18, 2023.</w:t>
      </w:r>
    </w:p>
    <w:p w14:paraId="0EAA1E24" w14:textId="2A0F9B9C" w:rsidR="00DD5993" w:rsidRPr="00965FE1" w:rsidRDefault="00DD5993" w:rsidP="00DD5993">
      <w:pPr>
        <w:spacing w:after="0"/>
        <w:ind w:left="720" w:hanging="720"/>
        <w:rPr>
          <w:color w:val="222222"/>
          <w:shd w:val="clear" w:color="auto" w:fill="FFFFFF"/>
        </w:rPr>
      </w:pPr>
      <w:r w:rsidRPr="00965FE1">
        <w:rPr>
          <w:color w:val="222222"/>
          <w:shd w:val="clear" w:color="auto" w:fill="FFFFFF"/>
        </w:rPr>
        <w:t>Fu, M., Kelly, J. A., Clinch, J. P., and King, F. (2012). Environmental policy implications of working from home: Modelling the impacts of land-use, infrastructure and socio-demographics. </w:t>
      </w:r>
      <w:r w:rsidRPr="00965FE1">
        <w:rPr>
          <w:i/>
          <w:iCs/>
          <w:color w:val="222222"/>
          <w:shd w:val="clear" w:color="auto" w:fill="FFFFFF"/>
        </w:rPr>
        <w:t xml:space="preserve">Energy </w:t>
      </w:r>
      <w:r w:rsidR="004B2796">
        <w:rPr>
          <w:i/>
          <w:iCs/>
          <w:color w:val="222222"/>
          <w:shd w:val="clear" w:color="auto" w:fill="FFFFFF"/>
        </w:rPr>
        <w:t>P</w:t>
      </w:r>
      <w:r w:rsidRPr="00965FE1">
        <w:rPr>
          <w:i/>
          <w:iCs/>
          <w:color w:val="222222"/>
          <w:shd w:val="clear" w:color="auto" w:fill="FFFFFF"/>
        </w:rPr>
        <w:t>olicy</w:t>
      </w:r>
      <w:r w:rsidRPr="00965FE1">
        <w:rPr>
          <w:color w:val="222222"/>
          <w:shd w:val="clear" w:color="auto" w:fill="FFFFFF"/>
        </w:rPr>
        <w:t>, </w:t>
      </w:r>
      <w:r w:rsidRPr="00965FE1">
        <w:rPr>
          <w:i/>
          <w:iCs/>
          <w:color w:val="222222"/>
          <w:shd w:val="clear" w:color="auto" w:fill="FFFFFF"/>
        </w:rPr>
        <w:t>47</w:t>
      </w:r>
      <w:r w:rsidRPr="00965FE1">
        <w:rPr>
          <w:color w:val="222222"/>
          <w:shd w:val="clear" w:color="auto" w:fill="FFFFFF"/>
        </w:rPr>
        <w:t>, 416-423.</w:t>
      </w:r>
    </w:p>
    <w:p w14:paraId="2F52F32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Gaduena, A., </w:t>
      </w:r>
      <w:proofErr w:type="spellStart"/>
      <w:r w:rsidRPr="00965FE1">
        <w:rPr>
          <w:color w:val="222222"/>
          <w:shd w:val="clear" w:color="auto" w:fill="FFFFFF"/>
        </w:rPr>
        <w:t>Caboverde</w:t>
      </w:r>
      <w:proofErr w:type="spellEnd"/>
      <w:r w:rsidRPr="00965FE1">
        <w:rPr>
          <w:color w:val="222222"/>
          <w:shd w:val="clear" w:color="auto" w:fill="FFFFFF"/>
        </w:rPr>
        <w:t xml:space="preserve">, C. E., and </w:t>
      </w:r>
      <w:proofErr w:type="spellStart"/>
      <w:r w:rsidRPr="00965FE1">
        <w:rPr>
          <w:color w:val="222222"/>
          <w:shd w:val="clear" w:color="auto" w:fill="FFFFFF"/>
        </w:rPr>
        <w:t>Flaminiano</w:t>
      </w:r>
      <w:proofErr w:type="spellEnd"/>
      <w:r w:rsidRPr="00965FE1">
        <w:rPr>
          <w:color w:val="222222"/>
          <w:shd w:val="clear" w:color="auto" w:fill="FFFFFF"/>
        </w:rPr>
        <w:t>, J. P. (2022). Telework potential in the Philippines. </w:t>
      </w:r>
      <w:r w:rsidRPr="00965FE1">
        <w:rPr>
          <w:i/>
          <w:iCs/>
          <w:color w:val="222222"/>
          <w:shd w:val="clear" w:color="auto" w:fill="FFFFFF"/>
        </w:rPr>
        <w:t xml:space="preserve">The Economic and </w:t>
      </w:r>
      <w:proofErr w:type="spellStart"/>
      <w:r w:rsidRPr="00965FE1">
        <w:rPr>
          <w:i/>
          <w:iCs/>
          <w:color w:val="222222"/>
          <w:shd w:val="clear" w:color="auto" w:fill="FFFFFF"/>
        </w:rPr>
        <w:t>Labour</w:t>
      </w:r>
      <w:proofErr w:type="spellEnd"/>
      <w:r w:rsidRPr="00965FE1">
        <w:rPr>
          <w:i/>
          <w:iCs/>
          <w:color w:val="222222"/>
          <w:shd w:val="clear" w:color="auto" w:fill="FFFFFF"/>
        </w:rPr>
        <w:t xml:space="preserve"> Relations Review</w:t>
      </w:r>
      <w:r w:rsidRPr="00965FE1">
        <w:rPr>
          <w:color w:val="222222"/>
          <w:shd w:val="clear" w:color="auto" w:fill="FFFFFF"/>
        </w:rPr>
        <w:t>, </w:t>
      </w:r>
      <w:r w:rsidRPr="00965FE1">
        <w:rPr>
          <w:i/>
          <w:iCs/>
          <w:color w:val="222222"/>
          <w:shd w:val="clear" w:color="auto" w:fill="FFFFFF"/>
        </w:rPr>
        <w:t>33</w:t>
      </w:r>
      <w:r w:rsidRPr="00965FE1">
        <w:rPr>
          <w:color w:val="222222"/>
          <w:shd w:val="clear" w:color="auto" w:fill="FFFFFF"/>
        </w:rPr>
        <w:t>(2), 434-454.</w:t>
      </w:r>
    </w:p>
    <w:p w14:paraId="1C4772E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Gebhardt, L., Wolf, C., and </w:t>
      </w:r>
      <w:proofErr w:type="spellStart"/>
      <w:r w:rsidRPr="00965FE1">
        <w:rPr>
          <w:color w:val="222222"/>
          <w:shd w:val="clear" w:color="auto" w:fill="FFFFFF"/>
        </w:rPr>
        <w:t>Seiffert</w:t>
      </w:r>
      <w:proofErr w:type="spellEnd"/>
      <w:r w:rsidRPr="00965FE1">
        <w:rPr>
          <w:color w:val="222222"/>
          <w:shd w:val="clear" w:color="auto" w:fill="FFFFFF"/>
        </w:rPr>
        <w:t>, R. (2021). “I’ll take the E-scooter instead of my car”—The potential of E-scooters as a substitute for car trips in Germany. </w:t>
      </w:r>
      <w:r w:rsidRPr="00965FE1">
        <w:rPr>
          <w:i/>
          <w:iCs/>
          <w:color w:val="222222"/>
          <w:shd w:val="clear" w:color="auto" w:fill="FFFFFF"/>
        </w:rPr>
        <w:t>Sustainability</w:t>
      </w:r>
      <w:r w:rsidRPr="00965FE1">
        <w:rPr>
          <w:color w:val="222222"/>
          <w:shd w:val="clear" w:color="auto" w:fill="FFFFFF"/>
        </w:rPr>
        <w:t>, </w:t>
      </w:r>
      <w:r w:rsidRPr="00965FE1">
        <w:rPr>
          <w:i/>
          <w:iCs/>
          <w:color w:val="222222"/>
          <w:shd w:val="clear" w:color="auto" w:fill="FFFFFF"/>
        </w:rPr>
        <w:t>13</w:t>
      </w:r>
      <w:r w:rsidRPr="00965FE1">
        <w:rPr>
          <w:color w:val="222222"/>
          <w:shd w:val="clear" w:color="auto" w:fill="FFFFFF"/>
        </w:rPr>
        <w:t>(13), 7361.</w:t>
      </w:r>
    </w:p>
    <w:p w14:paraId="7C1060FB" w14:textId="77777777" w:rsidR="00DD5993" w:rsidRPr="00965FE1" w:rsidRDefault="00DD5993" w:rsidP="00DD5993">
      <w:pPr>
        <w:spacing w:after="0"/>
        <w:ind w:left="720" w:hanging="720"/>
        <w:rPr>
          <w:color w:val="222222"/>
          <w:sz w:val="40"/>
          <w:szCs w:val="40"/>
          <w:shd w:val="clear" w:color="auto" w:fill="FFFFFF"/>
        </w:rPr>
      </w:pPr>
      <w:r w:rsidRPr="00965FE1">
        <w:rPr>
          <w:color w:val="222222"/>
          <w:shd w:val="clear" w:color="auto" w:fill="FFFFFF"/>
        </w:rPr>
        <w:t>Goetzke, F., and Rave, T. (2015). Automobile access, peer effects and happiness.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42</w:t>
      </w:r>
      <w:r w:rsidRPr="00965FE1">
        <w:rPr>
          <w:color w:val="222222"/>
          <w:shd w:val="clear" w:color="auto" w:fill="FFFFFF"/>
        </w:rPr>
        <w:t>, 791-805.</w:t>
      </w:r>
    </w:p>
    <w:p w14:paraId="1B65858E"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Goulias, K. G., Bhat, C. R., Pendyala, R. M., Chen, Y., Paleti, R., Konduri, K. C., Huang, G., and Hu, H. H. (2011, June). Simulator of activities, greenhouse emissions, networks, and travel (SimAGENT) in Southern California: Design, implementation, preliminary findings, and integration plans. In </w:t>
      </w:r>
      <w:r w:rsidRPr="00965FE1">
        <w:rPr>
          <w:i/>
          <w:iCs/>
          <w:color w:val="222222"/>
          <w:shd w:val="clear" w:color="auto" w:fill="FFFFFF"/>
        </w:rPr>
        <w:t>2011 IEEE Forum on Integrated and Sustainable Transportation Systems</w:t>
      </w:r>
      <w:r w:rsidRPr="00965FE1">
        <w:rPr>
          <w:color w:val="222222"/>
          <w:shd w:val="clear" w:color="auto" w:fill="FFFFFF"/>
        </w:rPr>
        <w:t> (pp. 164-169). IEEE.</w:t>
      </w:r>
    </w:p>
    <w:p w14:paraId="20C1628B" w14:textId="52F266CB" w:rsidR="00DD5993" w:rsidRPr="00965FE1" w:rsidRDefault="00DD5993" w:rsidP="00DD5993">
      <w:pPr>
        <w:spacing w:after="0"/>
        <w:ind w:left="720" w:hanging="720"/>
        <w:rPr>
          <w:color w:val="222222"/>
          <w:shd w:val="clear" w:color="auto" w:fill="FFFFFF"/>
        </w:rPr>
      </w:pPr>
      <w:r w:rsidRPr="009C5C94">
        <w:rPr>
          <w:color w:val="222222"/>
          <w:shd w:val="clear" w:color="auto" w:fill="FFFFFF"/>
        </w:rPr>
        <w:t xml:space="preserve">Guadamuz, R. (2020). </w:t>
      </w:r>
      <w:proofErr w:type="spellStart"/>
      <w:r w:rsidRPr="009C5C94">
        <w:rPr>
          <w:color w:val="222222"/>
          <w:shd w:val="clear" w:color="auto" w:fill="FFFFFF"/>
        </w:rPr>
        <w:t>Exponomial</w:t>
      </w:r>
      <w:proofErr w:type="spellEnd"/>
      <w:r w:rsidRPr="009C5C94">
        <w:rPr>
          <w:color w:val="222222"/>
          <w:shd w:val="clear" w:color="auto" w:fill="FFFFFF"/>
        </w:rPr>
        <w:t xml:space="preserve"> Model for Multiple Discrete-Continuous Choices: Analysis of Activity Time-Use Patterns in Dual Earner Households.</w:t>
      </w:r>
      <w:r w:rsidR="009C5C94">
        <w:rPr>
          <w:color w:val="222222"/>
          <w:shd w:val="clear" w:color="auto" w:fill="FFFFFF"/>
        </w:rPr>
        <w:t xml:space="preserve"> </w:t>
      </w:r>
      <w:r w:rsidR="009C5C94" w:rsidRPr="009C5C94">
        <w:rPr>
          <w:i/>
          <w:iCs/>
          <w:color w:val="222222"/>
          <w:shd w:val="clear" w:color="auto" w:fill="FFFFFF"/>
        </w:rPr>
        <w:t>MS Thesis</w:t>
      </w:r>
      <w:r w:rsidR="009C5C94">
        <w:rPr>
          <w:color w:val="222222"/>
          <w:shd w:val="clear" w:color="auto" w:fill="FFFFFF"/>
        </w:rPr>
        <w:t>, The Pennsylvania State University.</w:t>
      </w:r>
    </w:p>
    <w:p w14:paraId="35EE2CB0"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Haddad, A. J., Mondal, A., and Bhat, C. R. (2023). Eat-in or eat-out? A joint model to analyze the new landscape of dinner meal preferences. </w:t>
      </w:r>
      <w:r w:rsidRPr="00965FE1">
        <w:rPr>
          <w:i/>
          <w:iCs/>
          <w:color w:val="222222"/>
          <w:shd w:val="clear" w:color="auto" w:fill="FFFFFF"/>
        </w:rPr>
        <w:t>Transportation Research Part C: Emerging Technologies</w:t>
      </w:r>
      <w:r w:rsidRPr="00965FE1">
        <w:rPr>
          <w:color w:val="222222"/>
          <w:shd w:val="clear" w:color="auto" w:fill="FFFFFF"/>
        </w:rPr>
        <w:t>, </w:t>
      </w:r>
      <w:r w:rsidRPr="00965FE1">
        <w:rPr>
          <w:i/>
          <w:iCs/>
          <w:color w:val="222222"/>
          <w:shd w:val="clear" w:color="auto" w:fill="FFFFFF"/>
        </w:rPr>
        <w:t>147</w:t>
      </w:r>
      <w:r w:rsidRPr="00965FE1">
        <w:rPr>
          <w:color w:val="222222"/>
          <w:shd w:val="clear" w:color="auto" w:fill="FFFFFF"/>
        </w:rPr>
        <w:t>, 104016.</w:t>
      </w:r>
    </w:p>
    <w:p w14:paraId="0D352CA4" w14:textId="77777777" w:rsidR="00DD5993" w:rsidRPr="00965FE1" w:rsidRDefault="00DD5993" w:rsidP="00DD5993">
      <w:pPr>
        <w:spacing w:after="0"/>
        <w:ind w:left="720" w:hanging="720"/>
        <w:rPr>
          <w:color w:val="222222"/>
          <w:sz w:val="32"/>
          <w:szCs w:val="32"/>
          <w:shd w:val="clear" w:color="auto" w:fill="FFFFFF"/>
        </w:rPr>
      </w:pPr>
      <w:r w:rsidRPr="00965FE1">
        <w:rPr>
          <w:color w:val="222222"/>
          <w:shd w:val="clear" w:color="auto" w:fill="FFFFFF"/>
        </w:rPr>
        <w:t>He, S. Y., and Hu, L. (2015). Telecommuting, income, and out-of-home activities. </w:t>
      </w:r>
      <w:r w:rsidRPr="00965FE1">
        <w:rPr>
          <w:i/>
          <w:iCs/>
          <w:color w:val="222222"/>
          <w:shd w:val="clear" w:color="auto" w:fill="FFFFFF"/>
        </w:rPr>
        <w:t>Travel Behaviour and Society</w:t>
      </w:r>
      <w:r w:rsidRPr="00965FE1">
        <w:rPr>
          <w:color w:val="222222"/>
          <w:shd w:val="clear" w:color="auto" w:fill="FFFFFF"/>
        </w:rPr>
        <w:t>, </w:t>
      </w:r>
      <w:r w:rsidRPr="00965FE1">
        <w:rPr>
          <w:i/>
          <w:iCs/>
          <w:color w:val="222222"/>
          <w:shd w:val="clear" w:color="auto" w:fill="FFFFFF"/>
        </w:rPr>
        <w:t>2</w:t>
      </w:r>
      <w:r w:rsidRPr="00965FE1">
        <w:rPr>
          <w:color w:val="222222"/>
          <w:shd w:val="clear" w:color="auto" w:fill="FFFFFF"/>
        </w:rPr>
        <w:t>(3), 131-147.</w:t>
      </w:r>
    </w:p>
    <w:p w14:paraId="4BFE34BE" w14:textId="77777777" w:rsidR="00DD5993" w:rsidRPr="00965FE1" w:rsidRDefault="00DD5993" w:rsidP="00DD5993">
      <w:pPr>
        <w:spacing w:after="0"/>
        <w:ind w:left="720" w:hanging="720"/>
        <w:rPr>
          <w:color w:val="222222"/>
          <w:shd w:val="clear" w:color="auto" w:fill="FFFFFF"/>
        </w:rPr>
      </w:pPr>
      <w:r w:rsidRPr="00965FE1">
        <w:t xml:space="preserve">Heckman, J. J., and Vytlacil, E. J. (2000). The relationship between treatment parameters within a latent variable framework. </w:t>
      </w:r>
      <w:r w:rsidRPr="00965FE1">
        <w:rPr>
          <w:i/>
          <w:iCs/>
        </w:rPr>
        <w:t>Economics Letters, 66</w:t>
      </w:r>
      <w:r w:rsidRPr="00965FE1">
        <w:t>(1), 33-39.</w:t>
      </w:r>
    </w:p>
    <w:p w14:paraId="723A3A75" w14:textId="06C244AC"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Helminen, V., and Ristimäki, M. (2007). Relationships between commuting distance, frequency and telework in Finland. </w:t>
      </w:r>
      <w:r w:rsidRPr="00965FE1">
        <w:rPr>
          <w:i/>
          <w:iCs/>
          <w:color w:val="222222"/>
          <w:shd w:val="clear" w:color="auto" w:fill="FFFFFF"/>
        </w:rPr>
        <w:t xml:space="preserve">Journal of </w:t>
      </w:r>
      <w:r w:rsidR="004B2796">
        <w:rPr>
          <w:i/>
          <w:iCs/>
          <w:color w:val="222222"/>
          <w:shd w:val="clear" w:color="auto" w:fill="FFFFFF"/>
        </w:rPr>
        <w:t>T</w:t>
      </w:r>
      <w:r w:rsidRPr="00965FE1">
        <w:rPr>
          <w:i/>
          <w:iCs/>
          <w:color w:val="222222"/>
          <w:shd w:val="clear" w:color="auto" w:fill="FFFFFF"/>
        </w:rPr>
        <w:t xml:space="preserve">ransport </w:t>
      </w:r>
      <w:r w:rsidR="004B2796">
        <w:rPr>
          <w:i/>
          <w:iCs/>
          <w:color w:val="222222"/>
          <w:shd w:val="clear" w:color="auto" w:fill="FFFFFF"/>
        </w:rPr>
        <w:t>G</w:t>
      </w:r>
      <w:r w:rsidRPr="00965FE1">
        <w:rPr>
          <w:i/>
          <w:iCs/>
          <w:color w:val="222222"/>
          <w:shd w:val="clear" w:color="auto" w:fill="FFFFFF"/>
        </w:rPr>
        <w:t>eography</w:t>
      </w:r>
      <w:r w:rsidRPr="00965FE1">
        <w:rPr>
          <w:color w:val="222222"/>
          <w:shd w:val="clear" w:color="auto" w:fill="FFFFFF"/>
        </w:rPr>
        <w:t>, </w:t>
      </w:r>
      <w:r w:rsidRPr="00965FE1">
        <w:rPr>
          <w:i/>
          <w:iCs/>
          <w:color w:val="222222"/>
          <w:shd w:val="clear" w:color="auto" w:fill="FFFFFF"/>
        </w:rPr>
        <w:t>15</w:t>
      </w:r>
      <w:r w:rsidRPr="00965FE1">
        <w:rPr>
          <w:color w:val="222222"/>
          <w:shd w:val="clear" w:color="auto" w:fill="FFFFFF"/>
        </w:rPr>
        <w:t>(5), 331-342.</w:t>
      </w:r>
    </w:p>
    <w:p w14:paraId="3EE187C0" w14:textId="77777777" w:rsidR="00DD5993" w:rsidRPr="00965FE1" w:rsidRDefault="00DD5993" w:rsidP="00DD5993">
      <w:pPr>
        <w:spacing w:after="0"/>
        <w:ind w:left="720" w:hanging="720"/>
        <w:rPr>
          <w:color w:val="222222"/>
          <w:shd w:val="clear" w:color="auto" w:fill="FFFFFF"/>
        </w:rPr>
      </w:pPr>
      <w:proofErr w:type="spellStart"/>
      <w:r w:rsidRPr="00965FE1">
        <w:rPr>
          <w:color w:val="222222"/>
          <w:shd w:val="clear" w:color="auto" w:fill="FFFFFF"/>
        </w:rPr>
        <w:t>Highfill</w:t>
      </w:r>
      <w:proofErr w:type="spellEnd"/>
      <w:r w:rsidRPr="00965FE1">
        <w:rPr>
          <w:color w:val="222222"/>
          <w:shd w:val="clear" w:color="auto" w:fill="FFFFFF"/>
        </w:rPr>
        <w:t>, T., and Franks, C. (2019). Measuring the US outdoor recreation economy, 2012–2016. </w:t>
      </w:r>
      <w:r w:rsidRPr="00965FE1">
        <w:rPr>
          <w:i/>
          <w:iCs/>
          <w:color w:val="222222"/>
          <w:shd w:val="clear" w:color="auto" w:fill="FFFFFF"/>
        </w:rPr>
        <w:t>Journal of Outdoor Recreation and Tourism</w:t>
      </w:r>
      <w:r w:rsidRPr="00965FE1">
        <w:rPr>
          <w:color w:val="222222"/>
          <w:shd w:val="clear" w:color="auto" w:fill="FFFFFF"/>
        </w:rPr>
        <w:t>, </w:t>
      </w:r>
      <w:r w:rsidRPr="00965FE1">
        <w:rPr>
          <w:i/>
          <w:iCs/>
          <w:color w:val="222222"/>
          <w:shd w:val="clear" w:color="auto" w:fill="FFFFFF"/>
        </w:rPr>
        <w:t>27</w:t>
      </w:r>
      <w:r w:rsidRPr="00965FE1">
        <w:rPr>
          <w:color w:val="222222"/>
          <w:shd w:val="clear" w:color="auto" w:fill="FFFFFF"/>
        </w:rPr>
        <w:t>, 100233.</w:t>
      </w:r>
    </w:p>
    <w:p w14:paraId="6D21A44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Huang, Z., Loo, B. P., and Axhausen, K. W. (2023). Travel </w:t>
      </w:r>
      <w:proofErr w:type="spellStart"/>
      <w:r w:rsidRPr="00965FE1">
        <w:rPr>
          <w:color w:val="222222"/>
          <w:shd w:val="clear" w:color="auto" w:fill="FFFFFF"/>
        </w:rPr>
        <w:t>behaviour</w:t>
      </w:r>
      <w:proofErr w:type="spellEnd"/>
      <w:r w:rsidRPr="00965FE1">
        <w:rPr>
          <w:color w:val="222222"/>
          <w:shd w:val="clear" w:color="auto" w:fill="FFFFFF"/>
        </w:rPr>
        <w:t xml:space="preserve"> changes under Work-from-home (WFH) arrangements during COVID-19. </w:t>
      </w:r>
      <w:r w:rsidRPr="00965FE1">
        <w:rPr>
          <w:i/>
          <w:iCs/>
          <w:color w:val="222222"/>
          <w:shd w:val="clear" w:color="auto" w:fill="FFFFFF"/>
        </w:rPr>
        <w:t>Travel Behaviour and Society</w:t>
      </w:r>
      <w:r w:rsidRPr="00965FE1">
        <w:rPr>
          <w:color w:val="222222"/>
          <w:shd w:val="clear" w:color="auto" w:fill="FFFFFF"/>
        </w:rPr>
        <w:t>, </w:t>
      </w:r>
      <w:r w:rsidRPr="00965FE1">
        <w:rPr>
          <w:i/>
          <w:iCs/>
          <w:color w:val="222222"/>
          <w:shd w:val="clear" w:color="auto" w:fill="FFFFFF"/>
        </w:rPr>
        <w:t>30</w:t>
      </w:r>
      <w:r w:rsidRPr="00965FE1">
        <w:rPr>
          <w:color w:val="222222"/>
          <w:shd w:val="clear" w:color="auto" w:fill="FFFFFF"/>
        </w:rPr>
        <w:t>, 202-211.</w:t>
      </w:r>
    </w:p>
    <w:p w14:paraId="3EA8BF64" w14:textId="5D871BFC" w:rsidR="00DD5993" w:rsidRPr="00965FE1" w:rsidRDefault="00DD5993" w:rsidP="00DD5993">
      <w:pPr>
        <w:spacing w:after="0"/>
        <w:ind w:left="720" w:hanging="720"/>
        <w:rPr>
          <w:color w:val="222222"/>
          <w:shd w:val="clear" w:color="auto" w:fill="FFFFFF"/>
        </w:rPr>
      </w:pPr>
      <w:r w:rsidRPr="00965FE1">
        <w:rPr>
          <w:color w:val="222222"/>
          <w:shd w:val="clear" w:color="auto" w:fill="FFFFFF"/>
        </w:rPr>
        <w:t>Jaff, M. M., and Hamsa, A. A. K. (2021). Exploratory factor analysis on advantages and disadvantages of potential female telecommuters in Kuala Lumpur. </w:t>
      </w:r>
      <w:r w:rsidRPr="00965FE1">
        <w:rPr>
          <w:i/>
          <w:iCs/>
          <w:color w:val="222222"/>
          <w:shd w:val="clear" w:color="auto" w:fill="FFFFFF"/>
        </w:rPr>
        <w:t xml:space="preserve">Asian </w:t>
      </w:r>
      <w:r w:rsidR="004B2796">
        <w:rPr>
          <w:i/>
          <w:iCs/>
          <w:color w:val="222222"/>
          <w:shd w:val="clear" w:color="auto" w:fill="FFFFFF"/>
        </w:rPr>
        <w:t>T</w:t>
      </w:r>
      <w:r w:rsidRPr="00965FE1">
        <w:rPr>
          <w:i/>
          <w:iCs/>
          <w:color w:val="222222"/>
          <w:shd w:val="clear" w:color="auto" w:fill="FFFFFF"/>
        </w:rPr>
        <w:t xml:space="preserve">ransport </w:t>
      </w:r>
      <w:r w:rsidR="004B2796">
        <w:rPr>
          <w:i/>
          <w:iCs/>
          <w:color w:val="222222"/>
          <w:shd w:val="clear" w:color="auto" w:fill="FFFFFF"/>
        </w:rPr>
        <w:t>S</w:t>
      </w:r>
      <w:r w:rsidRPr="00965FE1">
        <w:rPr>
          <w:i/>
          <w:iCs/>
          <w:color w:val="222222"/>
          <w:shd w:val="clear" w:color="auto" w:fill="FFFFFF"/>
        </w:rPr>
        <w:t>tudies</w:t>
      </w:r>
      <w:r w:rsidRPr="00965FE1">
        <w:rPr>
          <w:color w:val="222222"/>
          <w:shd w:val="clear" w:color="auto" w:fill="FFFFFF"/>
        </w:rPr>
        <w:t>, </w:t>
      </w:r>
      <w:r w:rsidRPr="00965FE1">
        <w:rPr>
          <w:i/>
          <w:iCs/>
          <w:color w:val="222222"/>
          <w:shd w:val="clear" w:color="auto" w:fill="FFFFFF"/>
        </w:rPr>
        <w:t>7</w:t>
      </w:r>
      <w:r w:rsidRPr="00965FE1">
        <w:rPr>
          <w:color w:val="222222"/>
          <w:shd w:val="clear" w:color="auto" w:fill="FFFFFF"/>
        </w:rPr>
        <w:t>, 100034.</w:t>
      </w:r>
    </w:p>
    <w:p w14:paraId="6AC339C4"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Kersting, M., </w:t>
      </w:r>
      <w:proofErr w:type="spellStart"/>
      <w:r w:rsidRPr="00965FE1">
        <w:rPr>
          <w:color w:val="222222"/>
          <w:shd w:val="clear" w:color="auto" w:fill="FFFFFF"/>
        </w:rPr>
        <w:t>Matthies</w:t>
      </w:r>
      <w:proofErr w:type="spellEnd"/>
      <w:r w:rsidRPr="00965FE1">
        <w:rPr>
          <w:color w:val="222222"/>
          <w:shd w:val="clear" w:color="auto" w:fill="FFFFFF"/>
        </w:rPr>
        <w:t xml:space="preserve">, E., </w:t>
      </w:r>
      <w:proofErr w:type="spellStart"/>
      <w:r w:rsidRPr="00965FE1">
        <w:rPr>
          <w:color w:val="222222"/>
          <w:shd w:val="clear" w:color="auto" w:fill="FFFFFF"/>
        </w:rPr>
        <w:t>Lahner</w:t>
      </w:r>
      <w:proofErr w:type="spellEnd"/>
      <w:r w:rsidRPr="00965FE1">
        <w:rPr>
          <w:color w:val="222222"/>
          <w:shd w:val="clear" w:color="auto" w:fill="FFFFFF"/>
        </w:rPr>
        <w:t>, J., and Schlüter, J. (2021). A socioeconomic analysis of commuting professionals.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48</w:t>
      </w:r>
      <w:r w:rsidRPr="00965FE1">
        <w:rPr>
          <w:color w:val="222222"/>
          <w:shd w:val="clear" w:color="auto" w:fill="FFFFFF"/>
        </w:rPr>
        <w:t>, 2127-2158.</w:t>
      </w:r>
    </w:p>
    <w:p w14:paraId="5E8BF742" w14:textId="77777777" w:rsidR="00DD5993" w:rsidRPr="00965FE1" w:rsidRDefault="00DD5993" w:rsidP="00DD5993">
      <w:pPr>
        <w:spacing w:after="0"/>
        <w:ind w:left="720" w:hanging="720"/>
      </w:pPr>
      <w:r w:rsidRPr="00965FE1">
        <w:t xml:space="preserve">Keya, N., </w:t>
      </w:r>
      <w:proofErr w:type="spellStart"/>
      <w:r w:rsidRPr="00965FE1">
        <w:t>Anowar</w:t>
      </w:r>
      <w:proofErr w:type="spellEnd"/>
      <w:r w:rsidRPr="00965FE1">
        <w:t xml:space="preserve">, S., Bhowmik, T., and Eluru, N. (2021). A joint framework for modeling freight mode and destination choice: Application to the US commodity flow survey data. </w:t>
      </w:r>
      <w:r w:rsidRPr="00965FE1">
        <w:rPr>
          <w:i/>
          <w:iCs/>
        </w:rPr>
        <w:t>Transportation Research Part E</w:t>
      </w:r>
      <w:r w:rsidRPr="004B2796">
        <w:t xml:space="preserve">, </w:t>
      </w:r>
      <w:r w:rsidRPr="00965FE1">
        <w:rPr>
          <w:i/>
          <w:iCs/>
        </w:rPr>
        <w:t>146</w:t>
      </w:r>
      <w:r w:rsidRPr="00965FE1">
        <w:t>, 102208.</w:t>
      </w:r>
    </w:p>
    <w:p w14:paraId="3A997DC3" w14:textId="77777777" w:rsidR="00DD5993" w:rsidRPr="00965FE1" w:rsidRDefault="00DD5993" w:rsidP="00DD5993">
      <w:pPr>
        <w:spacing w:after="0"/>
        <w:ind w:left="720" w:hanging="720"/>
        <w:rPr>
          <w:color w:val="222222"/>
          <w:sz w:val="32"/>
          <w:szCs w:val="32"/>
          <w:shd w:val="clear" w:color="auto" w:fill="FFFFFF"/>
        </w:rPr>
      </w:pPr>
      <w:r w:rsidRPr="00965FE1">
        <w:rPr>
          <w:color w:val="222222"/>
          <w:shd w:val="clear" w:color="auto" w:fill="FFFFFF"/>
        </w:rPr>
        <w:t>Kim, S. N. (2017). Is telecommuting sustainable? An alternative approach to estimating the impact of home-based telecommuting on household travel. </w:t>
      </w:r>
      <w:r w:rsidRPr="00965FE1">
        <w:rPr>
          <w:i/>
          <w:iCs/>
          <w:color w:val="222222"/>
          <w:shd w:val="clear" w:color="auto" w:fill="FFFFFF"/>
        </w:rPr>
        <w:t>International Journal of Sustainable Transportation</w:t>
      </w:r>
      <w:r w:rsidRPr="00965FE1">
        <w:rPr>
          <w:color w:val="222222"/>
          <w:shd w:val="clear" w:color="auto" w:fill="FFFFFF"/>
        </w:rPr>
        <w:t>, </w:t>
      </w:r>
      <w:r w:rsidRPr="00965FE1">
        <w:rPr>
          <w:i/>
          <w:iCs/>
          <w:color w:val="222222"/>
          <w:shd w:val="clear" w:color="auto" w:fill="FFFFFF"/>
        </w:rPr>
        <w:t>11</w:t>
      </w:r>
      <w:r w:rsidRPr="00965FE1">
        <w:rPr>
          <w:color w:val="222222"/>
          <w:shd w:val="clear" w:color="auto" w:fill="FFFFFF"/>
        </w:rPr>
        <w:t>(2), 72-85.</w:t>
      </w:r>
    </w:p>
    <w:p w14:paraId="2D7A7310" w14:textId="7ABAB11A" w:rsidR="00DD5993" w:rsidRPr="009C5C94" w:rsidRDefault="00DD5993" w:rsidP="00DD5993">
      <w:pPr>
        <w:spacing w:after="0"/>
        <w:ind w:left="720" w:hanging="720"/>
      </w:pPr>
      <w:r w:rsidRPr="00965FE1">
        <w:rPr>
          <w:color w:val="222222"/>
          <w:shd w:val="clear" w:color="auto" w:fill="FFFFFF"/>
        </w:rPr>
        <w:t xml:space="preserve">Kim, J., and Long, D. (2022). What </w:t>
      </w:r>
      <w:r w:rsidR="009C5C94">
        <w:rPr>
          <w:color w:val="222222"/>
          <w:shd w:val="clear" w:color="auto" w:fill="FFFFFF"/>
        </w:rPr>
        <w:t>f</w:t>
      </w:r>
      <w:r w:rsidRPr="00965FE1">
        <w:rPr>
          <w:color w:val="222222"/>
          <w:shd w:val="clear" w:color="auto" w:fill="FFFFFF"/>
        </w:rPr>
        <w:t xml:space="preserve">lattened the </w:t>
      </w:r>
      <w:r w:rsidR="009C5C94">
        <w:rPr>
          <w:color w:val="222222"/>
          <w:shd w:val="clear" w:color="auto" w:fill="FFFFFF"/>
        </w:rPr>
        <w:t>h</w:t>
      </w:r>
      <w:r w:rsidRPr="00965FE1">
        <w:rPr>
          <w:color w:val="222222"/>
          <w:shd w:val="clear" w:color="auto" w:fill="FFFFFF"/>
        </w:rPr>
        <w:t>ouse-</w:t>
      </w:r>
      <w:r w:rsidR="009C5C94">
        <w:rPr>
          <w:color w:val="222222"/>
          <w:shd w:val="clear" w:color="auto" w:fill="FFFFFF"/>
        </w:rPr>
        <w:t>p</w:t>
      </w:r>
      <w:r w:rsidRPr="00965FE1">
        <w:rPr>
          <w:color w:val="222222"/>
          <w:shd w:val="clear" w:color="auto" w:fill="FFFFFF"/>
        </w:rPr>
        <w:t xml:space="preserve">rice </w:t>
      </w:r>
      <w:r w:rsidR="009C5C94">
        <w:rPr>
          <w:color w:val="222222"/>
          <w:shd w:val="clear" w:color="auto" w:fill="FFFFFF"/>
        </w:rPr>
        <w:t>g</w:t>
      </w:r>
      <w:r w:rsidRPr="00965FE1">
        <w:rPr>
          <w:color w:val="222222"/>
          <w:shd w:val="clear" w:color="auto" w:fill="FFFFFF"/>
        </w:rPr>
        <w:t xml:space="preserve">radient? The </w:t>
      </w:r>
      <w:r w:rsidR="009C5C94">
        <w:rPr>
          <w:color w:val="222222"/>
          <w:shd w:val="clear" w:color="auto" w:fill="FFFFFF"/>
        </w:rPr>
        <w:t>r</w:t>
      </w:r>
      <w:r w:rsidRPr="00965FE1">
        <w:rPr>
          <w:color w:val="222222"/>
          <w:shd w:val="clear" w:color="auto" w:fill="FFFFFF"/>
        </w:rPr>
        <w:t xml:space="preserve">ole of </w:t>
      </w:r>
      <w:r w:rsidR="009C5C94">
        <w:rPr>
          <w:color w:val="222222"/>
          <w:shd w:val="clear" w:color="auto" w:fill="FFFFFF"/>
        </w:rPr>
        <w:t>w</w:t>
      </w:r>
      <w:r w:rsidRPr="00965FE1">
        <w:rPr>
          <w:color w:val="222222"/>
          <w:shd w:val="clear" w:color="auto" w:fill="FFFFFF"/>
        </w:rPr>
        <w:t>ork-from-</w:t>
      </w:r>
      <w:r w:rsidR="009C5C94">
        <w:rPr>
          <w:color w:val="222222"/>
          <w:shd w:val="clear" w:color="auto" w:fill="FFFFFF"/>
        </w:rPr>
        <w:t>h</w:t>
      </w:r>
      <w:r w:rsidRPr="00965FE1">
        <w:rPr>
          <w:color w:val="222222"/>
          <w:shd w:val="clear" w:color="auto" w:fill="FFFFFF"/>
        </w:rPr>
        <w:t xml:space="preserve">ome and </w:t>
      </w:r>
      <w:r w:rsidR="009C5C94">
        <w:rPr>
          <w:color w:val="222222"/>
          <w:shd w:val="clear" w:color="auto" w:fill="FFFFFF"/>
        </w:rPr>
        <w:t>d</w:t>
      </w:r>
      <w:r w:rsidRPr="00965FE1">
        <w:rPr>
          <w:color w:val="222222"/>
          <w:shd w:val="clear" w:color="auto" w:fill="FFFFFF"/>
        </w:rPr>
        <w:t xml:space="preserve">ecreased </w:t>
      </w:r>
      <w:r w:rsidR="009C5C94">
        <w:rPr>
          <w:color w:val="222222"/>
          <w:shd w:val="clear" w:color="auto" w:fill="FFFFFF"/>
        </w:rPr>
        <w:t>c</w:t>
      </w:r>
      <w:r w:rsidRPr="00965FE1">
        <w:rPr>
          <w:color w:val="222222"/>
          <w:shd w:val="clear" w:color="auto" w:fill="FFFFFF"/>
        </w:rPr>
        <w:t xml:space="preserve">ommuting </w:t>
      </w:r>
      <w:r w:rsidR="009C5C94">
        <w:rPr>
          <w:color w:val="222222"/>
          <w:shd w:val="clear" w:color="auto" w:fill="FFFFFF"/>
        </w:rPr>
        <w:t>c</w:t>
      </w:r>
      <w:r w:rsidRPr="00965FE1">
        <w:rPr>
          <w:color w:val="222222"/>
          <w:shd w:val="clear" w:color="auto" w:fill="FFFFFF"/>
        </w:rPr>
        <w:t>ost. </w:t>
      </w:r>
      <w:r w:rsidR="009C5C94" w:rsidRPr="009C5C94">
        <w:t xml:space="preserve">Working Papers 2205, Nam Duck-Woo Economic Research Institute, </w:t>
      </w:r>
      <w:proofErr w:type="spellStart"/>
      <w:r w:rsidR="009C5C94" w:rsidRPr="009C5C94">
        <w:t>Sogang</w:t>
      </w:r>
      <w:proofErr w:type="spellEnd"/>
      <w:r w:rsidR="009C5C94" w:rsidRPr="009C5C94">
        <w:t xml:space="preserve"> University (Former Research Institute for Market Economy).</w:t>
      </w:r>
    </w:p>
    <w:p w14:paraId="4D9D02C1"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Kim, S. N., Choo, S., and Mokhtarian, P. L. (2015). Home-based telecommuting and intra-household interactions in work and nonwork travel: A seemingly unrelated censored regression approach.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80</w:t>
      </w:r>
      <w:r w:rsidRPr="00965FE1">
        <w:rPr>
          <w:color w:val="222222"/>
          <w:shd w:val="clear" w:color="auto" w:fill="FFFFFF"/>
        </w:rPr>
        <w:t>, 197-214.</w:t>
      </w:r>
    </w:p>
    <w:p w14:paraId="1B7F8D11"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Lavieri, P. S., Dai, Q., and Bhat, C. R. (2018). Using virtual accessibility and physical accessibility as joint predictors of activity-travel behavior.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118</w:t>
      </w:r>
      <w:r w:rsidRPr="00965FE1">
        <w:rPr>
          <w:color w:val="222222"/>
          <w:shd w:val="clear" w:color="auto" w:fill="FFFFFF"/>
        </w:rPr>
        <w:t>, 527-544.</w:t>
      </w:r>
    </w:p>
    <w:p w14:paraId="07538EAF"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Lila, P. C., and Anjaneyulu, M. V. L. R. (2013). Modeling the Choice of Tele-work and its Effects on Travel Behaviour in Indian context. </w:t>
      </w:r>
      <w:r w:rsidRPr="00965FE1">
        <w:rPr>
          <w:i/>
          <w:iCs/>
          <w:color w:val="222222"/>
          <w:shd w:val="clear" w:color="auto" w:fill="FFFFFF"/>
        </w:rPr>
        <w:t>Procedia-Social and Behavioral Sciences</w:t>
      </w:r>
      <w:r w:rsidRPr="00965FE1">
        <w:rPr>
          <w:color w:val="222222"/>
          <w:shd w:val="clear" w:color="auto" w:fill="FFFFFF"/>
        </w:rPr>
        <w:t>, </w:t>
      </w:r>
      <w:r w:rsidRPr="00965FE1">
        <w:rPr>
          <w:i/>
          <w:iCs/>
          <w:color w:val="222222"/>
          <w:shd w:val="clear" w:color="auto" w:fill="FFFFFF"/>
        </w:rPr>
        <w:t>104</w:t>
      </w:r>
      <w:r w:rsidRPr="00965FE1">
        <w:rPr>
          <w:color w:val="222222"/>
          <w:shd w:val="clear" w:color="auto" w:fill="FFFFFF"/>
        </w:rPr>
        <w:t>, 553-562.</w:t>
      </w:r>
    </w:p>
    <w:p w14:paraId="2B958A52"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López-Igual, P., and Rodríguez-Modroño, P. (2020). Who is teleworking and where from? Exploring the main determinants of telework in Europe. </w:t>
      </w:r>
      <w:r w:rsidRPr="00965FE1">
        <w:rPr>
          <w:i/>
          <w:iCs/>
          <w:color w:val="222222"/>
          <w:shd w:val="clear" w:color="auto" w:fill="FFFFFF"/>
        </w:rPr>
        <w:t>Sustainability</w:t>
      </w:r>
      <w:r w:rsidRPr="00965FE1">
        <w:rPr>
          <w:color w:val="222222"/>
          <w:shd w:val="clear" w:color="auto" w:fill="FFFFFF"/>
        </w:rPr>
        <w:t>, </w:t>
      </w:r>
      <w:r w:rsidRPr="00965FE1">
        <w:rPr>
          <w:i/>
          <w:iCs/>
          <w:color w:val="222222"/>
          <w:shd w:val="clear" w:color="auto" w:fill="FFFFFF"/>
        </w:rPr>
        <w:t>12</w:t>
      </w:r>
      <w:r w:rsidRPr="00965FE1">
        <w:rPr>
          <w:color w:val="222222"/>
          <w:shd w:val="clear" w:color="auto" w:fill="FFFFFF"/>
        </w:rPr>
        <w:t>(21), 8797.</w:t>
      </w:r>
    </w:p>
    <w:p w14:paraId="22E82EDA" w14:textId="77777777" w:rsidR="00DD5993" w:rsidRPr="00965FE1" w:rsidRDefault="00DD5993" w:rsidP="00DD5993">
      <w:pPr>
        <w:spacing w:after="0"/>
        <w:ind w:left="720" w:hanging="720"/>
        <w:rPr>
          <w:color w:val="222222"/>
          <w:shd w:val="clear" w:color="auto" w:fill="FFFFFF"/>
        </w:rPr>
      </w:pPr>
      <w:r w:rsidRPr="00965FE1">
        <w:t xml:space="preserve">Lu, X., and White, H. (2014). Robustness checks and robustness tests in applied economics. </w:t>
      </w:r>
      <w:r w:rsidRPr="00965FE1">
        <w:rPr>
          <w:i/>
          <w:iCs/>
        </w:rPr>
        <w:t>Journal of Econometrics</w:t>
      </w:r>
      <w:r w:rsidRPr="004B2796">
        <w:t xml:space="preserve">, </w:t>
      </w:r>
      <w:r w:rsidRPr="00965FE1">
        <w:rPr>
          <w:i/>
          <w:iCs/>
        </w:rPr>
        <w:t>178</w:t>
      </w:r>
      <w:r w:rsidRPr="00965FE1">
        <w:t>, 194-206.</w:t>
      </w:r>
    </w:p>
    <w:p w14:paraId="405A2A7A"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Mallett, W. J., and McGuckin, N. (2000). Driving to distractions: recreational trips in private vehicles. </w:t>
      </w:r>
      <w:r w:rsidRPr="00965FE1">
        <w:rPr>
          <w:i/>
          <w:iCs/>
          <w:color w:val="222222"/>
          <w:shd w:val="clear" w:color="auto" w:fill="FFFFFF"/>
        </w:rPr>
        <w:t>Transportation Research Record</w:t>
      </w:r>
      <w:r w:rsidRPr="00965FE1">
        <w:rPr>
          <w:color w:val="222222"/>
          <w:shd w:val="clear" w:color="auto" w:fill="FFFFFF"/>
        </w:rPr>
        <w:t>, </w:t>
      </w:r>
      <w:r w:rsidRPr="00965FE1">
        <w:rPr>
          <w:i/>
          <w:iCs/>
          <w:color w:val="222222"/>
          <w:shd w:val="clear" w:color="auto" w:fill="FFFFFF"/>
        </w:rPr>
        <w:t>1719</w:t>
      </w:r>
      <w:r w:rsidRPr="00965FE1">
        <w:rPr>
          <w:color w:val="222222"/>
          <w:shd w:val="clear" w:color="auto" w:fill="FFFFFF"/>
        </w:rPr>
        <w:t>(1), 267-272.</w:t>
      </w:r>
    </w:p>
    <w:p w14:paraId="5E1C5685" w14:textId="77777777" w:rsidR="00DD5993" w:rsidRPr="00965FE1" w:rsidRDefault="00DD5993" w:rsidP="00DD5993">
      <w:pPr>
        <w:spacing w:after="0"/>
        <w:ind w:left="720" w:hanging="720"/>
        <w:rPr>
          <w:color w:val="222222"/>
          <w:shd w:val="clear" w:color="auto" w:fill="FFFFFF"/>
        </w:rPr>
      </w:pPr>
      <w:r w:rsidRPr="00965FE1">
        <w:t xml:space="preserve">Metropolitan Council (2022). </w:t>
      </w:r>
      <w:r w:rsidRPr="00965FE1">
        <w:rPr>
          <w:i/>
          <w:iCs/>
        </w:rPr>
        <w:t>TRAVEL BEHAVIOR INVENTORY</w:t>
      </w:r>
      <w:r w:rsidRPr="00965FE1">
        <w:t xml:space="preserve"> [Data set]. Available at: </w:t>
      </w:r>
      <w:hyperlink r:id="rId212" w:history="1">
        <w:r w:rsidRPr="00965FE1">
          <w:rPr>
            <w:rStyle w:val="Hyperlink"/>
          </w:rPr>
          <w:t>https://metrocouncil.org/Transportation/Performance/Travel-Behavior-Inventory.aspx</w:t>
        </w:r>
      </w:hyperlink>
      <w:r w:rsidRPr="00965FE1">
        <w:t>. Accessed on October 23, 2023.</w:t>
      </w:r>
    </w:p>
    <w:p w14:paraId="0030221C"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Misra, R., and Bhat, C. (2000). Activity-travel patterns of nonworkers in the San Francisco Bay area: exploratory analysis. </w:t>
      </w:r>
      <w:r w:rsidRPr="00965FE1">
        <w:rPr>
          <w:i/>
          <w:iCs/>
          <w:color w:val="222222"/>
          <w:shd w:val="clear" w:color="auto" w:fill="FFFFFF"/>
        </w:rPr>
        <w:t>Transportation Research Record</w:t>
      </w:r>
      <w:r w:rsidRPr="00965FE1">
        <w:rPr>
          <w:color w:val="222222"/>
          <w:shd w:val="clear" w:color="auto" w:fill="FFFFFF"/>
        </w:rPr>
        <w:t>, </w:t>
      </w:r>
      <w:r w:rsidRPr="00965FE1">
        <w:rPr>
          <w:i/>
          <w:iCs/>
          <w:color w:val="222222"/>
          <w:shd w:val="clear" w:color="auto" w:fill="FFFFFF"/>
        </w:rPr>
        <w:t>1718</w:t>
      </w:r>
      <w:r w:rsidRPr="00965FE1">
        <w:rPr>
          <w:color w:val="222222"/>
          <w:shd w:val="clear" w:color="auto" w:fill="FFFFFF"/>
        </w:rPr>
        <w:t>(1), 43-51.</w:t>
      </w:r>
    </w:p>
    <w:p w14:paraId="51992DF7"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Mokhtarian, P. L., </w:t>
      </w:r>
      <w:proofErr w:type="spellStart"/>
      <w:r w:rsidRPr="00965FE1">
        <w:rPr>
          <w:color w:val="222222"/>
          <w:shd w:val="clear" w:color="auto" w:fill="FFFFFF"/>
        </w:rPr>
        <w:t>Collantes</w:t>
      </w:r>
      <w:proofErr w:type="spellEnd"/>
      <w:r w:rsidRPr="00965FE1">
        <w:rPr>
          <w:color w:val="222222"/>
          <w:shd w:val="clear" w:color="auto" w:fill="FFFFFF"/>
        </w:rPr>
        <w:t>, G. O., and Gertz, C. (2004). Telecommuting, residential location, and commute-distance traveled: evidence from State of California employees. </w:t>
      </w:r>
      <w:r w:rsidRPr="00965FE1">
        <w:rPr>
          <w:i/>
          <w:iCs/>
          <w:color w:val="222222"/>
          <w:shd w:val="clear" w:color="auto" w:fill="FFFFFF"/>
        </w:rPr>
        <w:t>Environment and Planning A</w:t>
      </w:r>
      <w:r w:rsidRPr="00965FE1">
        <w:rPr>
          <w:color w:val="222222"/>
          <w:shd w:val="clear" w:color="auto" w:fill="FFFFFF"/>
        </w:rPr>
        <w:t>, </w:t>
      </w:r>
      <w:r w:rsidRPr="00965FE1">
        <w:rPr>
          <w:i/>
          <w:iCs/>
          <w:color w:val="222222"/>
          <w:shd w:val="clear" w:color="auto" w:fill="FFFFFF"/>
        </w:rPr>
        <w:t>36</w:t>
      </w:r>
      <w:r w:rsidRPr="00965FE1">
        <w:rPr>
          <w:color w:val="222222"/>
          <w:shd w:val="clear" w:color="auto" w:fill="FFFFFF"/>
        </w:rPr>
        <w:t>(10), 1877-1897.</w:t>
      </w:r>
    </w:p>
    <w:p w14:paraId="7C85337F"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Mondal, A., and Bhat, C. R. (2021). A new closed form multiple discrete-continuous extreme value (MDCEV) choice model with multiple linear constraints. </w:t>
      </w:r>
      <w:r w:rsidRPr="00965FE1">
        <w:rPr>
          <w:i/>
          <w:iCs/>
          <w:color w:val="222222"/>
          <w:shd w:val="clear" w:color="auto" w:fill="FFFFFF"/>
        </w:rPr>
        <w:t>Transportation Research Part B: Methodological</w:t>
      </w:r>
      <w:r w:rsidRPr="00965FE1">
        <w:rPr>
          <w:color w:val="222222"/>
          <w:shd w:val="clear" w:color="auto" w:fill="FFFFFF"/>
        </w:rPr>
        <w:t>, </w:t>
      </w:r>
      <w:r w:rsidRPr="00965FE1">
        <w:rPr>
          <w:i/>
          <w:iCs/>
          <w:color w:val="222222"/>
          <w:shd w:val="clear" w:color="auto" w:fill="FFFFFF"/>
        </w:rPr>
        <w:t>147</w:t>
      </w:r>
      <w:r w:rsidRPr="00965FE1">
        <w:rPr>
          <w:color w:val="222222"/>
          <w:shd w:val="clear" w:color="auto" w:fill="FFFFFF"/>
        </w:rPr>
        <w:t>, 42-66.</w:t>
      </w:r>
    </w:p>
    <w:p w14:paraId="1D158467" w14:textId="77777777" w:rsidR="00DD5993" w:rsidRPr="00965FE1" w:rsidRDefault="00DD5993" w:rsidP="00DD5993">
      <w:pPr>
        <w:spacing w:after="0"/>
        <w:ind w:left="720" w:hanging="720"/>
        <w:rPr>
          <w:color w:val="222222"/>
          <w:sz w:val="32"/>
          <w:szCs w:val="32"/>
          <w:shd w:val="clear" w:color="auto" w:fill="FFFFFF"/>
        </w:rPr>
      </w:pPr>
      <w:r w:rsidRPr="00965FE1">
        <w:rPr>
          <w:color w:val="222222"/>
          <w:shd w:val="clear" w:color="auto" w:fill="FFFFFF"/>
        </w:rPr>
        <w:t>Morris, E. A., Blumenberg, E., and Guerra, E. (2020). Does lacking a car put the brakes on activity participation? Private vehicle access and access to opportunities among low-income adults.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136</w:t>
      </w:r>
      <w:r w:rsidRPr="00965FE1">
        <w:rPr>
          <w:color w:val="222222"/>
          <w:shd w:val="clear" w:color="auto" w:fill="FFFFFF"/>
        </w:rPr>
        <w:t>, 375-397.</w:t>
      </w:r>
    </w:p>
    <w:p w14:paraId="5D85213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Mouratidis, G. (2018). Digital nomads: travel, remote work and alternative lifestyles.</w:t>
      </w:r>
    </w:p>
    <w:p w14:paraId="5758CF04" w14:textId="77777777" w:rsidR="00DD5993" w:rsidRPr="00965FE1" w:rsidRDefault="00DD5993" w:rsidP="00DD5993">
      <w:pPr>
        <w:spacing w:after="0"/>
        <w:ind w:left="720" w:hanging="720"/>
      </w:pPr>
      <w:r w:rsidRPr="00965FE1">
        <w:t xml:space="preserve">Murray, J. (2022). A Brief History of </w:t>
      </w:r>
      <w:proofErr w:type="spellStart"/>
      <w:r w:rsidRPr="00965FE1">
        <w:t>WiFi</w:t>
      </w:r>
      <w:proofErr w:type="spellEnd"/>
      <w:r w:rsidRPr="00965FE1">
        <w:t xml:space="preserve">. </w:t>
      </w:r>
      <w:r w:rsidRPr="00965FE1">
        <w:rPr>
          <w:i/>
          <w:iCs/>
        </w:rPr>
        <w:t>Compare Internet.</w:t>
      </w:r>
      <w:r w:rsidRPr="00965FE1">
        <w:t xml:space="preserve"> Available at: </w:t>
      </w:r>
      <w:hyperlink r:id="rId213" w:anchor=":~:text=Home%20WiFi%20became%20available%20for,sales%20go%20through%20the%20roof" w:history="1">
        <w:r w:rsidRPr="00965FE1">
          <w:rPr>
            <w:rStyle w:val="Hyperlink"/>
          </w:rPr>
          <w:t>https://www.compareinternet.com/blog/a-brief-history-of-wifi/#:~:text=Home%20WiFi%20became%20available%20for,sales%20go%20through%20the%20roof</w:t>
        </w:r>
      </w:hyperlink>
      <w:r w:rsidRPr="00965FE1">
        <w:t xml:space="preserve">. Accessed December 19, 2023. </w:t>
      </w:r>
    </w:p>
    <w:p w14:paraId="050AAC97" w14:textId="77777777" w:rsidR="00DD5993" w:rsidRPr="00965FE1" w:rsidRDefault="00DD5993" w:rsidP="00DD5993">
      <w:pPr>
        <w:spacing w:after="0"/>
        <w:ind w:left="720" w:hanging="720"/>
        <w:rPr>
          <w:sz w:val="32"/>
          <w:szCs w:val="32"/>
        </w:rPr>
      </w:pPr>
      <w:r w:rsidRPr="00965FE1">
        <w:rPr>
          <w:color w:val="222222"/>
          <w:shd w:val="clear" w:color="auto" w:fill="FFFFFF"/>
        </w:rPr>
        <w:t>Nguyen, M. H. (2021). Factors influencing home-based telework in Hanoi (Vietnam) during and after the COVID-19 era.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48</w:t>
      </w:r>
      <w:r w:rsidRPr="00965FE1">
        <w:rPr>
          <w:color w:val="222222"/>
          <w:shd w:val="clear" w:color="auto" w:fill="FFFFFF"/>
        </w:rPr>
        <w:t>(6), 3207-3238.</w:t>
      </w:r>
    </w:p>
    <w:p w14:paraId="058BD20F" w14:textId="77777777" w:rsidR="00DD5993" w:rsidRPr="00965FE1" w:rsidRDefault="00DD5993" w:rsidP="00DD5993">
      <w:pPr>
        <w:spacing w:after="0"/>
        <w:ind w:left="720" w:hanging="720"/>
      </w:pPr>
      <w:r w:rsidRPr="00965FE1">
        <w:t xml:space="preserve">Nilles, J. M. (1991). Telecommuting and urban sprawl: Mitigator or inciter?. </w:t>
      </w:r>
      <w:r w:rsidRPr="00965FE1">
        <w:rPr>
          <w:i/>
          <w:iCs/>
        </w:rPr>
        <w:t>Transportation</w:t>
      </w:r>
      <w:r w:rsidRPr="00965FE1">
        <w:t>, 18(4), 411-432.</w:t>
      </w:r>
    </w:p>
    <w:p w14:paraId="7CF73B80" w14:textId="74BAD8E0" w:rsidR="00B8253A" w:rsidRDefault="00DD5993" w:rsidP="00DD5993">
      <w:pPr>
        <w:spacing w:after="0"/>
        <w:ind w:left="720" w:hanging="720"/>
        <w:rPr>
          <w:color w:val="222222"/>
          <w:shd w:val="clear" w:color="auto" w:fill="FFFFFF"/>
        </w:rPr>
      </w:pPr>
      <w:r w:rsidRPr="00965FE1">
        <w:rPr>
          <w:color w:val="222222"/>
          <w:shd w:val="clear" w:color="auto" w:fill="FFFFFF"/>
        </w:rPr>
        <w:t xml:space="preserve">Obeid, H., Anderson, M. L., </w:t>
      </w:r>
      <w:proofErr w:type="spellStart"/>
      <w:r w:rsidRPr="00965FE1">
        <w:rPr>
          <w:color w:val="222222"/>
          <w:shd w:val="clear" w:color="auto" w:fill="FFFFFF"/>
        </w:rPr>
        <w:t>Bouzaghrane</w:t>
      </w:r>
      <w:proofErr w:type="spellEnd"/>
      <w:r w:rsidRPr="00965FE1">
        <w:rPr>
          <w:color w:val="222222"/>
          <w:shd w:val="clear" w:color="auto" w:fill="FFFFFF"/>
        </w:rPr>
        <w:t xml:space="preserve">, M. A., and Walker, J. L. (2022). Does </w:t>
      </w:r>
      <w:r w:rsidR="00B8253A">
        <w:rPr>
          <w:color w:val="222222"/>
          <w:shd w:val="clear" w:color="auto" w:fill="FFFFFF"/>
        </w:rPr>
        <w:t>t</w:t>
      </w:r>
      <w:r w:rsidRPr="00965FE1">
        <w:rPr>
          <w:color w:val="222222"/>
          <w:shd w:val="clear" w:color="auto" w:fill="FFFFFF"/>
        </w:rPr>
        <w:t xml:space="preserve">elecommuting </w:t>
      </w:r>
      <w:r w:rsidR="00B8253A">
        <w:rPr>
          <w:color w:val="222222"/>
          <w:shd w:val="clear" w:color="auto" w:fill="FFFFFF"/>
        </w:rPr>
        <w:t>r</w:t>
      </w:r>
      <w:r w:rsidRPr="00965FE1">
        <w:rPr>
          <w:color w:val="222222"/>
          <w:shd w:val="clear" w:color="auto" w:fill="FFFFFF"/>
        </w:rPr>
        <w:t xml:space="preserve">educe </w:t>
      </w:r>
      <w:r w:rsidR="00B8253A">
        <w:rPr>
          <w:color w:val="222222"/>
          <w:shd w:val="clear" w:color="auto" w:fill="FFFFFF"/>
        </w:rPr>
        <w:t>t</w:t>
      </w:r>
      <w:r w:rsidRPr="00965FE1">
        <w:rPr>
          <w:color w:val="222222"/>
          <w:shd w:val="clear" w:color="auto" w:fill="FFFFFF"/>
        </w:rPr>
        <w:t>rip-</w:t>
      </w:r>
      <w:r w:rsidR="00B8253A">
        <w:rPr>
          <w:color w:val="222222"/>
          <w:shd w:val="clear" w:color="auto" w:fill="FFFFFF"/>
        </w:rPr>
        <w:t>m</w:t>
      </w:r>
      <w:r w:rsidRPr="00965FE1">
        <w:rPr>
          <w:color w:val="222222"/>
          <w:shd w:val="clear" w:color="auto" w:fill="FFFFFF"/>
        </w:rPr>
        <w:t xml:space="preserve">aking? Evidence </w:t>
      </w:r>
      <w:r w:rsidR="00B8253A">
        <w:rPr>
          <w:color w:val="222222"/>
          <w:shd w:val="clear" w:color="auto" w:fill="FFFFFF"/>
        </w:rPr>
        <w:t>f</w:t>
      </w:r>
      <w:r w:rsidRPr="00965FE1">
        <w:rPr>
          <w:color w:val="222222"/>
          <w:shd w:val="clear" w:color="auto" w:fill="FFFFFF"/>
        </w:rPr>
        <w:t>rom a U</w:t>
      </w:r>
      <w:r w:rsidR="00B8253A">
        <w:rPr>
          <w:color w:val="222222"/>
          <w:shd w:val="clear" w:color="auto" w:fill="FFFFFF"/>
        </w:rPr>
        <w:t>.</w:t>
      </w:r>
      <w:r w:rsidRPr="00965FE1">
        <w:rPr>
          <w:color w:val="222222"/>
          <w:shd w:val="clear" w:color="auto" w:fill="FFFFFF"/>
        </w:rPr>
        <w:t>S</w:t>
      </w:r>
      <w:r w:rsidR="00B8253A">
        <w:rPr>
          <w:color w:val="222222"/>
          <w:shd w:val="clear" w:color="auto" w:fill="FFFFFF"/>
        </w:rPr>
        <w:t>.</w:t>
      </w:r>
      <w:r w:rsidRPr="00965FE1">
        <w:rPr>
          <w:color w:val="222222"/>
          <w:shd w:val="clear" w:color="auto" w:fill="FFFFFF"/>
        </w:rPr>
        <w:t xml:space="preserve"> </w:t>
      </w:r>
      <w:r w:rsidR="00B8253A">
        <w:rPr>
          <w:color w:val="222222"/>
          <w:shd w:val="clear" w:color="auto" w:fill="FFFFFF"/>
        </w:rPr>
        <w:t>p</w:t>
      </w:r>
      <w:r w:rsidRPr="00965FE1">
        <w:rPr>
          <w:color w:val="222222"/>
          <w:shd w:val="clear" w:color="auto" w:fill="FFFFFF"/>
        </w:rPr>
        <w:t xml:space="preserve">anel </w:t>
      </w:r>
      <w:r w:rsidR="00B8253A">
        <w:rPr>
          <w:color w:val="222222"/>
          <w:shd w:val="clear" w:color="auto" w:fill="FFFFFF"/>
        </w:rPr>
        <w:t>d</w:t>
      </w:r>
      <w:r w:rsidRPr="00965FE1">
        <w:rPr>
          <w:color w:val="222222"/>
          <w:shd w:val="clear" w:color="auto" w:fill="FFFFFF"/>
        </w:rPr>
        <w:t xml:space="preserve">uring the COVID-19 </w:t>
      </w:r>
      <w:r w:rsidR="00B8253A">
        <w:rPr>
          <w:color w:val="222222"/>
          <w:shd w:val="clear" w:color="auto" w:fill="FFFFFF"/>
        </w:rPr>
        <w:t>i</w:t>
      </w:r>
      <w:r w:rsidRPr="00965FE1">
        <w:rPr>
          <w:color w:val="222222"/>
          <w:shd w:val="clear" w:color="auto" w:fill="FFFFFF"/>
        </w:rPr>
        <w:t xml:space="preserve">mpact and </w:t>
      </w:r>
      <w:r w:rsidR="00B8253A">
        <w:rPr>
          <w:color w:val="222222"/>
          <w:shd w:val="clear" w:color="auto" w:fill="FFFFFF"/>
        </w:rPr>
        <w:t>r</w:t>
      </w:r>
      <w:r w:rsidRPr="00965FE1">
        <w:rPr>
          <w:color w:val="222222"/>
          <w:shd w:val="clear" w:color="auto" w:fill="FFFFFF"/>
        </w:rPr>
        <w:t xml:space="preserve">ecovery </w:t>
      </w:r>
      <w:r w:rsidR="00B8253A">
        <w:rPr>
          <w:color w:val="222222"/>
          <w:shd w:val="clear" w:color="auto" w:fill="FFFFFF"/>
        </w:rPr>
        <w:t>p</w:t>
      </w:r>
      <w:r w:rsidRPr="00965FE1">
        <w:rPr>
          <w:color w:val="222222"/>
          <w:shd w:val="clear" w:color="auto" w:fill="FFFFFF"/>
        </w:rPr>
        <w:t>eriods</w:t>
      </w:r>
      <w:r w:rsidRPr="00B8253A">
        <w:t>. </w:t>
      </w:r>
      <w:r w:rsidR="00CB28A2" w:rsidRPr="00B8253A">
        <w:t xml:space="preserve"> Available at SSRN: </w:t>
      </w:r>
      <w:hyperlink r:id="rId214" w:tgtFrame="_blank" w:history="1">
        <w:r w:rsidR="00CB28A2" w:rsidRPr="00B8253A">
          <w:rPr>
            <w:rStyle w:val="Hyperlink"/>
          </w:rPr>
          <w:t>https://ssrn.com/abstract=4213516</w:t>
        </w:r>
      </w:hyperlink>
      <w:r w:rsidR="00B8253A" w:rsidRPr="00B8253A">
        <w:t>.</w:t>
      </w:r>
      <w:r w:rsidR="00CB28A2" w:rsidRPr="00965FE1">
        <w:rPr>
          <w:color w:val="222222"/>
          <w:shd w:val="clear" w:color="auto" w:fill="FFFFFF"/>
        </w:rPr>
        <w:t xml:space="preserve"> </w:t>
      </w:r>
    </w:p>
    <w:p w14:paraId="6A286418" w14:textId="5CDF48C3" w:rsidR="00DD5993" w:rsidRPr="00965FE1" w:rsidRDefault="00DD5993" w:rsidP="00DD5993">
      <w:pPr>
        <w:spacing w:after="0"/>
        <w:ind w:left="720" w:hanging="720"/>
      </w:pPr>
      <w:proofErr w:type="spellStart"/>
      <w:r w:rsidRPr="00965FE1">
        <w:rPr>
          <w:color w:val="222222"/>
          <w:shd w:val="clear" w:color="auto" w:fill="FFFFFF"/>
        </w:rPr>
        <w:t>Pabilonia</w:t>
      </w:r>
      <w:proofErr w:type="spellEnd"/>
      <w:r w:rsidRPr="00965FE1">
        <w:rPr>
          <w:color w:val="222222"/>
          <w:shd w:val="clear" w:color="auto" w:fill="FFFFFF"/>
        </w:rPr>
        <w:t xml:space="preserve">, S. W., and Vernon, V. (2020). Telework and time use in the United States. </w:t>
      </w:r>
      <w:r w:rsidRPr="00965FE1">
        <w:t xml:space="preserve">U.S. Bureau of Labor Statistics and IZA. Available at: </w:t>
      </w:r>
      <w:hyperlink r:id="rId215" w:history="1">
        <w:r w:rsidRPr="00965FE1">
          <w:rPr>
            <w:rStyle w:val="Hyperlink"/>
          </w:rPr>
          <w:t>https://www.researchgate.net/profile/Sabrina-Pabilonia/publication/342117428_Telework_and_Time_Use_in_the_United_States/links/5ee80014458515814a627989/Telework-and-Time-Use-in-the-United-States.pdf</w:t>
        </w:r>
      </w:hyperlink>
      <w:r w:rsidRPr="00965FE1">
        <w:t>. Accessed on: February 16, 2024.</w:t>
      </w:r>
    </w:p>
    <w:p w14:paraId="2A94E9ED"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Paillard-Borg, S., Wang, H. X., </w:t>
      </w:r>
      <w:proofErr w:type="spellStart"/>
      <w:r w:rsidRPr="00965FE1">
        <w:rPr>
          <w:color w:val="222222"/>
          <w:shd w:val="clear" w:color="auto" w:fill="FFFFFF"/>
        </w:rPr>
        <w:t>Winblad</w:t>
      </w:r>
      <w:proofErr w:type="spellEnd"/>
      <w:r w:rsidRPr="00965FE1">
        <w:rPr>
          <w:color w:val="222222"/>
          <w:shd w:val="clear" w:color="auto" w:fill="FFFFFF"/>
        </w:rPr>
        <w:t xml:space="preserve">, B., and </w:t>
      </w:r>
      <w:proofErr w:type="spellStart"/>
      <w:r w:rsidRPr="00965FE1">
        <w:rPr>
          <w:color w:val="222222"/>
          <w:shd w:val="clear" w:color="auto" w:fill="FFFFFF"/>
        </w:rPr>
        <w:t>Fratiglioni</w:t>
      </w:r>
      <w:proofErr w:type="spellEnd"/>
      <w:r w:rsidRPr="00965FE1">
        <w:rPr>
          <w:color w:val="222222"/>
          <w:shd w:val="clear" w:color="auto" w:fill="FFFFFF"/>
        </w:rPr>
        <w:t>, L. (2009). Pattern of participation in leisure activities among older people in relation to their health conditions and contextual factors: a survey in a Swedish urban area. </w:t>
      </w:r>
      <w:r w:rsidRPr="00965FE1">
        <w:rPr>
          <w:i/>
          <w:iCs/>
          <w:color w:val="222222"/>
          <w:shd w:val="clear" w:color="auto" w:fill="FFFFFF"/>
        </w:rPr>
        <w:t>Ageing &amp; Society</w:t>
      </w:r>
      <w:r w:rsidRPr="00965FE1">
        <w:rPr>
          <w:color w:val="222222"/>
          <w:shd w:val="clear" w:color="auto" w:fill="FFFFFF"/>
        </w:rPr>
        <w:t>, </w:t>
      </w:r>
      <w:r w:rsidRPr="00965FE1">
        <w:rPr>
          <w:i/>
          <w:iCs/>
          <w:color w:val="222222"/>
          <w:shd w:val="clear" w:color="auto" w:fill="FFFFFF"/>
        </w:rPr>
        <w:t>29</w:t>
      </w:r>
      <w:r w:rsidRPr="00965FE1">
        <w:rPr>
          <w:color w:val="222222"/>
          <w:shd w:val="clear" w:color="auto" w:fill="FFFFFF"/>
        </w:rPr>
        <w:t>(5), 803-821.</w:t>
      </w:r>
    </w:p>
    <w:p w14:paraId="2DDEF095"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Parady, G. T., Katayama, G., Yamazaki, H., </w:t>
      </w:r>
      <w:proofErr w:type="spellStart"/>
      <w:r w:rsidRPr="00965FE1">
        <w:rPr>
          <w:color w:val="222222"/>
          <w:shd w:val="clear" w:color="auto" w:fill="FFFFFF"/>
        </w:rPr>
        <w:t>Yamanami</w:t>
      </w:r>
      <w:proofErr w:type="spellEnd"/>
      <w:r w:rsidRPr="00965FE1">
        <w:rPr>
          <w:color w:val="222222"/>
          <w:shd w:val="clear" w:color="auto" w:fill="FFFFFF"/>
        </w:rPr>
        <w:t xml:space="preserve">, T., </w:t>
      </w:r>
      <w:proofErr w:type="spellStart"/>
      <w:r w:rsidRPr="00965FE1">
        <w:rPr>
          <w:color w:val="222222"/>
          <w:shd w:val="clear" w:color="auto" w:fill="FFFFFF"/>
        </w:rPr>
        <w:t>Takami</w:t>
      </w:r>
      <w:proofErr w:type="spellEnd"/>
      <w:r w:rsidRPr="00965FE1">
        <w:rPr>
          <w:color w:val="222222"/>
          <w:shd w:val="clear" w:color="auto" w:fill="FFFFFF"/>
        </w:rPr>
        <w:t xml:space="preserve">, K., and </w:t>
      </w:r>
      <w:proofErr w:type="spellStart"/>
      <w:r w:rsidRPr="00965FE1">
        <w:rPr>
          <w:color w:val="222222"/>
          <w:shd w:val="clear" w:color="auto" w:fill="FFFFFF"/>
        </w:rPr>
        <w:t>Harata</w:t>
      </w:r>
      <w:proofErr w:type="spellEnd"/>
      <w:r w:rsidRPr="00965FE1">
        <w:rPr>
          <w:color w:val="222222"/>
          <w:shd w:val="clear" w:color="auto" w:fill="FFFFFF"/>
        </w:rPr>
        <w:t>, N. (2019). Analysis of social networks, social interactions, and out-of-home leisure activity generation: Evidence from Japan.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46</w:t>
      </w:r>
      <w:r w:rsidRPr="00965FE1">
        <w:rPr>
          <w:color w:val="222222"/>
          <w:shd w:val="clear" w:color="auto" w:fill="FFFFFF"/>
        </w:rPr>
        <w:t>, 537-562.</w:t>
      </w:r>
    </w:p>
    <w:p w14:paraId="5CC0428B" w14:textId="0DE3ED5B" w:rsidR="00DD5993" w:rsidRPr="00965FE1" w:rsidRDefault="00DD5993" w:rsidP="00DD5993">
      <w:pPr>
        <w:spacing w:after="0"/>
        <w:ind w:left="720" w:hanging="720"/>
        <w:rPr>
          <w:color w:val="222222"/>
          <w:shd w:val="clear" w:color="auto" w:fill="FFFFFF"/>
        </w:rPr>
      </w:pPr>
      <w:proofErr w:type="spellStart"/>
      <w:r w:rsidRPr="00965FE1">
        <w:rPr>
          <w:color w:val="222222"/>
          <w:shd w:val="clear" w:color="auto" w:fill="FFFFFF"/>
        </w:rPr>
        <w:t>Raišienė</w:t>
      </w:r>
      <w:proofErr w:type="spellEnd"/>
      <w:r w:rsidRPr="00965FE1">
        <w:rPr>
          <w:color w:val="222222"/>
          <w:shd w:val="clear" w:color="auto" w:fill="FFFFFF"/>
        </w:rPr>
        <w:t xml:space="preserve">, A. G., </w:t>
      </w:r>
      <w:proofErr w:type="spellStart"/>
      <w:r w:rsidRPr="00965FE1">
        <w:rPr>
          <w:color w:val="222222"/>
          <w:shd w:val="clear" w:color="auto" w:fill="FFFFFF"/>
        </w:rPr>
        <w:t>Rapuano</w:t>
      </w:r>
      <w:proofErr w:type="spellEnd"/>
      <w:r w:rsidRPr="00965FE1">
        <w:rPr>
          <w:color w:val="222222"/>
          <w:shd w:val="clear" w:color="auto" w:fill="FFFFFF"/>
        </w:rPr>
        <w:t xml:space="preserve">, V., and </w:t>
      </w:r>
      <w:proofErr w:type="spellStart"/>
      <w:r w:rsidRPr="00965FE1">
        <w:rPr>
          <w:color w:val="222222"/>
          <w:shd w:val="clear" w:color="auto" w:fill="FFFFFF"/>
        </w:rPr>
        <w:t>Varkulevičiūtė</w:t>
      </w:r>
      <w:proofErr w:type="spellEnd"/>
      <w:r w:rsidRPr="00965FE1">
        <w:rPr>
          <w:color w:val="222222"/>
          <w:shd w:val="clear" w:color="auto" w:fill="FFFFFF"/>
        </w:rPr>
        <w:t xml:space="preserve">, K. (2021). Sensitive men and hardy women: How do millennials, </w:t>
      </w:r>
      <w:proofErr w:type="spellStart"/>
      <w:r w:rsidRPr="00965FE1">
        <w:rPr>
          <w:color w:val="222222"/>
          <w:shd w:val="clear" w:color="auto" w:fill="FFFFFF"/>
        </w:rPr>
        <w:t>xennials</w:t>
      </w:r>
      <w:proofErr w:type="spellEnd"/>
      <w:r w:rsidRPr="00965FE1">
        <w:rPr>
          <w:color w:val="222222"/>
          <w:shd w:val="clear" w:color="auto" w:fill="FFFFFF"/>
        </w:rPr>
        <w:t xml:space="preserve"> and gen x manage to work from home?. </w:t>
      </w:r>
      <w:r w:rsidRPr="00965FE1">
        <w:rPr>
          <w:i/>
          <w:iCs/>
          <w:color w:val="222222"/>
          <w:shd w:val="clear" w:color="auto" w:fill="FFFFFF"/>
        </w:rPr>
        <w:t xml:space="preserve">Journal of </w:t>
      </w:r>
      <w:r w:rsidR="004B2796">
        <w:rPr>
          <w:i/>
          <w:iCs/>
          <w:color w:val="222222"/>
          <w:shd w:val="clear" w:color="auto" w:fill="FFFFFF"/>
        </w:rPr>
        <w:t>O</w:t>
      </w:r>
      <w:r w:rsidRPr="00965FE1">
        <w:rPr>
          <w:i/>
          <w:iCs/>
          <w:color w:val="222222"/>
          <w:shd w:val="clear" w:color="auto" w:fill="FFFFFF"/>
        </w:rPr>
        <w:t xml:space="preserve">pen </w:t>
      </w:r>
      <w:r w:rsidR="004B2796">
        <w:rPr>
          <w:i/>
          <w:iCs/>
          <w:color w:val="222222"/>
          <w:shd w:val="clear" w:color="auto" w:fill="FFFFFF"/>
        </w:rPr>
        <w:t>I</w:t>
      </w:r>
      <w:r w:rsidRPr="00965FE1">
        <w:rPr>
          <w:i/>
          <w:iCs/>
          <w:color w:val="222222"/>
          <w:shd w:val="clear" w:color="auto" w:fill="FFFFFF"/>
        </w:rPr>
        <w:t xml:space="preserve">nnovation: </w:t>
      </w:r>
      <w:r w:rsidR="004B2796">
        <w:rPr>
          <w:i/>
          <w:iCs/>
          <w:color w:val="222222"/>
          <w:shd w:val="clear" w:color="auto" w:fill="FFFFFF"/>
        </w:rPr>
        <w:t>T</w:t>
      </w:r>
      <w:r w:rsidRPr="00965FE1">
        <w:rPr>
          <w:i/>
          <w:iCs/>
          <w:color w:val="222222"/>
          <w:shd w:val="clear" w:color="auto" w:fill="FFFFFF"/>
        </w:rPr>
        <w:t xml:space="preserve">echnology, </w:t>
      </w:r>
      <w:r w:rsidR="004B2796">
        <w:rPr>
          <w:i/>
          <w:iCs/>
          <w:color w:val="222222"/>
          <w:shd w:val="clear" w:color="auto" w:fill="FFFFFF"/>
        </w:rPr>
        <w:t>M</w:t>
      </w:r>
      <w:r w:rsidRPr="00965FE1">
        <w:rPr>
          <w:i/>
          <w:iCs/>
          <w:color w:val="222222"/>
          <w:shd w:val="clear" w:color="auto" w:fill="FFFFFF"/>
        </w:rPr>
        <w:t xml:space="preserve">arket, and </w:t>
      </w:r>
      <w:r w:rsidR="004B2796">
        <w:rPr>
          <w:i/>
          <w:iCs/>
          <w:color w:val="222222"/>
          <w:shd w:val="clear" w:color="auto" w:fill="FFFFFF"/>
        </w:rPr>
        <w:t>C</w:t>
      </w:r>
      <w:r w:rsidRPr="00965FE1">
        <w:rPr>
          <w:i/>
          <w:iCs/>
          <w:color w:val="222222"/>
          <w:shd w:val="clear" w:color="auto" w:fill="FFFFFF"/>
        </w:rPr>
        <w:t>omplexity</w:t>
      </w:r>
      <w:r w:rsidRPr="00965FE1">
        <w:rPr>
          <w:color w:val="222222"/>
          <w:shd w:val="clear" w:color="auto" w:fill="FFFFFF"/>
        </w:rPr>
        <w:t>, </w:t>
      </w:r>
      <w:r w:rsidRPr="00965FE1">
        <w:rPr>
          <w:i/>
          <w:iCs/>
          <w:color w:val="222222"/>
          <w:shd w:val="clear" w:color="auto" w:fill="FFFFFF"/>
        </w:rPr>
        <w:t>7</w:t>
      </w:r>
      <w:r w:rsidRPr="00965FE1">
        <w:rPr>
          <w:color w:val="222222"/>
          <w:shd w:val="clear" w:color="auto" w:fill="FFFFFF"/>
        </w:rPr>
        <w:t>(2), 106.</w:t>
      </w:r>
    </w:p>
    <w:p w14:paraId="56C5B419" w14:textId="034878FA" w:rsidR="00DD5993" w:rsidRPr="00965FE1" w:rsidRDefault="00DD5993" w:rsidP="00DD5993">
      <w:pPr>
        <w:spacing w:after="0"/>
        <w:ind w:left="720" w:hanging="720"/>
        <w:rPr>
          <w:color w:val="222222"/>
          <w:shd w:val="clear" w:color="auto" w:fill="FFFFFF"/>
        </w:rPr>
      </w:pPr>
      <w:r w:rsidRPr="00965FE1">
        <w:t xml:space="preserve">Ramsey, K., and Bell, A. (2014). Smart Location Database, Version 2.0 User Guide. Available at: </w:t>
      </w:r>
      <w:hyperlink r:id="rId216" w:history="1">
        <w:r w:rsidR="00CB28A2" w:rsidRPr="00EA01B7">
          <w:rPr>
            <w:rStyle w:val="Hyperlink"/>
          </w:rPr>
          <w:t>https://www.epa.gov/sites/production/files/2014-03/documents/sld_userguide.pdf</w:t>
        </w:r>
      </w:hyperlink>
      <w:r w:rsidRPr="00965FE1">
        <w:t>.</w:t>
      </w:r>
      <w:r w:rsidR="00CB28A2">
        <w:t xml:space="preserve"> </w:t>
      </w:r>
      <w:r w:rsidRPr="00965FE1">
        <w:t xml:space="preserve"> Accessed on May 15, 2022.</w:t>
      </w:r>
    </w:p>
    <w:p w14:paraId="799B089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Reed, M. N., Li, L., </w:t>
      </w:r>
      <w:proofErr w:type="spellStart"/>
      <w:r w:rsidRPr="00965FE1">
        <w:rPr>
          <w:color w:val="222222"/>
          <w:shd w:val="clear" w:color="auto" w:fill="FFFFFF"/>
        </w:rPr>
        <w:t>Pesando</w:t>
      </w:r>
      <w:proofErr w:type="spellEnd"/>
      <w:r w:rsidRPr="00965FE1">
        <w:rPr>
          <w:color w:val="222222"/>
          <w:shd w:val="clear" w:color="auto" w:fill="FFFFFF"/>
        </w:rPr>
        <w:t xml:space="preserve">, L. M., Harris, L. E., Furstenberg, F. F., and </w:t>
      </w:r>
      <w:proofErr w:type="spellStart"/>
      <w:r w:rsidRPr="00965FE1">
        <w:rPr>
          <w:color w:val="222222"/>
          <w:shd w:val="clear" w:color="auto" w:fill="FFFFFF"/>
        </w:rPr>
        <w:t>Teitler</w:t>
      </w:r>
      <w:proofErr w:type="spellEnd"/>
      <w:r w:rsidRPr="00965FE1">
        <w:rPr>
          <w:color w:val="222222"/>
          <w:shd w:val="clear" w:color="auto" w:fill="FFFFFF"/>
        </w:rPr>
        <w:t>, J. O. (2023). Communication with Kin in the Wake of the COVID-19 Pandemic. </w:t>
      </w:r>
      <w:r w:rsidRPr="00965FE1">
        <w:rPr>
          <w:i/>
          <w:iCs/>
          <w:color w:val="222222"/>
          <w:shd w:val="clear" w:color="auto" w:fill="FFFFFF"/>
        </w:rPr>
        <w:t>Socius</w:t>
      </w:r>
      <w:r w:rsidRPr="00965FE1">
        <w:rPr>
          <w:color w:val="222222"/>
          <w:shd w:val="clear" w:color="auto" w:fill="FFFFFF"/>
        </w:rPr>
        <w:t>, </w:t>
      </w:r>
      <w:r w:rsidRPr="00965FE1">
        <w:rPr>
          <w:i/>
          <w:iCs/>
          <w:color w:val="222222"/>
          <w:shd w:val="clear" w:color="auto" w:fill="FFFFFF"/>
        </w:rPr>
        <w:t>9</w:t>
      </w:r>
      <w:r w:rsidRPr="00965FE1">
        <w:rPr>
          <w:color w:val="222222"/>
          <w:shd w:val="clear" w:color="auto" w:fill="FFFFFF"/>
        </w:rPr>
        <w:t>, 23780231231199388.</w:t>
      </w:r>
    </w:p>
    <w:p w14:paraId="4BA6273B" w14:textId="2D29F027" w:rsidR="00DD5993" w:rsidRPr="00965FE1" w:rsidRDefault="00DD5993" w:rsidP="00DD5993">
      <w:pPr>
        <w:spacing w:after="0"/>
        <w:ind w:left="720" w:hanging="720"/>
        <w:rPr>
          <w:color w:val="222222"/>
          <w:shd w:val="clear" w:color="auto" w:fill="FFFFFF"/>
        </w:rPr>
      </w:pPr>
      <w:r w:rsidRPr="00965FE1">
        <w:t xml:space="preserve">Saad, L, and Wigert, B. (2021). Remote Work Persisting and Trending Permanent. Gallup. Available at: </w:t>
      </w:r>
      <w:hyperlink r:id="rId217" w:history="1">
        <w:r w:rsidR="00CB28A2" w:rsidRPr="00EA01B7">
          <w:rPr>
            <w:rStyle w:val="Hyperlink"/>
          </w:rPr>
          <w:t>https://news.gallup.com/poll/355907/remote-work-persisting-trendingpermanent.aspx</w:t>
        </w:r>
      </w:hyperlink>
      <w:r w:rsidRPr="00965FE1">
        <w:t>.</w:t>
      </w:r>
      <w:r w:rsidR="00CB28A2">
        <w:t xml:space="preserve"> </w:t>
      </w:r>
      <w:r w:rsidRPr="00965FE1">
        <w:t>Accessed on March 1, 2023.</w:t>
      </w:r>
    </w:p>
    <w:p w14:paraId="403BE544"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Schieman, S., </w:t>
      </w:r>
      <w:proofErr w:type="spellStart"/>
      <w:r w:rsidRPr="00965FE1">
        <w:rPr>
          <w:color w:val="222222"/>
          <w:shd w:val="clear" w:color="auto" w:fill="FFFFFF"/>
        </w:rPr>
        <w:t>Badawy</w:t>
      </w:r>
      <w:proofErr w:type="spellEnd"/>
      <w:r w:rsidRPr="00965FE1">
        <w:rPr>
          <w:color w:val="222222"/>
          <w:shd w:val="clear" w:color="auto" w:fill="FFFFFF"/>
        </w:rPr>
        <w:t xml:space="preserve">, P. J., A. </w:t>
      </w:r>
      <w:proofErr w:type="spellStart"/>
      <w:r w:rsidRPr="00965FE1">
        <w:rPr>
          <w:color w:val="222222"/>
          <w:shd w:val="clear" w:color="auto" w:fill="FFFFFF"/>
        </w:rPr>
        <w:t>Milkie</w:t>
      </w:r>
      <w:proofErr w:type="spellEnd"/>
      <w:r w:rsidRPr="00965FE1">
        <w:rPr>
          <w:color w:val="222222"/>
          <w:shd w:val="clear" w:color="auto" w:fill="FFFFFF"/>
        </w:rPr>
        <w:t>, M., and Bierman, A. (2021). Work-life conflict during the COVID-19 pandemic. </w:t>
      </w:r>
      <w:r w:rsidRPr="00965FE1">
        <w:rPr>
          <w:i/>
          <w:iCs/>
          <w:color w:val="222222"/>
          <w:shd w:val="clear" w:color="auto" w:fill="FFFFFF"/>
        </w:rPr>
        <w:t>Socius</w:t>
      </w:r>
      <w:r w:rsidRPr="00965FE1">
        <w:rPr>
          <w:color w:val="222222"/>
          <w:shd w:val="clear" w:color="auto" w:fill="FFFFFF"/>
        </w:rPr>
        <w:t>, </w:t>
      </w:r>
      <w:r w:rsidRPr="00965FE1">
        <w:rPr>
          <w:i/>
          <w:iCs/>
          <w:color w:val="222222"/>
          <w:shd w:val="clear" w:color="auto" w:fill="FFFFFF"/>
        </w:rPr>
        <w:t>7</w:t>
      </w:r>
      <w:r w:rsidRPr="00965FE1">
        <w:rPr>
          <w:color w:val="222222"/>
          <w:shd w:val="clear" w:color="auto" w:fill="FFFFFF"/>
        </w:rPr>
        <w:t>, 2378023120982856.</w:t>
      </w:r>
    </w:p>
    <w:p w14:paraId="54D72B95"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Shabanpour, R., Golshani, N., </w:t>
      </w:r>
      <w:proofErr w:type="spellStart"/>
      <w:r w:rsidRPr="00965FE1">
        <w:rPr>
          <w:color w:val="222222"/>
          <w:shd w:val="clear" w:color="auto" w:fill="FFFFFF"/>
        </w:rPr>
        <w:t>Tayarani</w:t>
      </w:r>
      <w:proofErr w:type="spellEnd"/>
      <w:r w:rsidRPr="00965FE1">
        <w:rPr>
          <w:color w:val="222222"/>
          <w:shd w:val="clear" w:color="auto" w:fill="FFFFFF"/>
        </w:rPr>
        <w:t>, M., Auld, J., and Mohammadian, A. K. (2018). Analysis of telecommuting behavior and impacts on travel demand and the environment. </w:t>
      </w:r>
      <w:r w:rsidRPr="00965FE1">
        <w:rPr>
          <w:i/>
          <w:iCs/>
          <w:color w:val="222222"/>
          <w:shd w:val="clear" w:color="auto" w:fill="FFFFFF"/>
        </w:rPr>
        <w:t>Transportation Research Part D: Transport and Environment</w:t>
      </w:r>
      <w:r w:rsidRPr="00965FE1">
        <w:rPr>
          <w:color w:val="222222"/>
          <w:shd w:val="clear" w:color="auto" w:fill="FFFFFF"/>
        </w:rPr>
        <w:t>, </w:t>
      </w:r>
      <w:r w:rsidRPr="00965FE1">
        <w:rPr>
          <w:i/>
          <w:iCs/>
          <w:color w:val="222222"/>
          <w:shd w:val="clear" w:color="auto" w:fill="FFFFFF"/>
        </w:rPr>
        <w:t>62</w:t>
      </w:r>
      <w:r w:rsidRPr="00965FE1">
        <w:rPr>
          <w:color w:val="222222"/>
          <w:shd w:val="clear" w:color="auto" w:fill="FFFFFF"/>
        </w:rPr>
        <w:t>, 563-576.</w:t>
      </w:r>
    </w:p>
    <w:p w14:paraId="5DAFD0B6"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Shah, H., and Carrel, A. L. (2024). Do teleworking and online shopping influence modality styles for work and shopping tours? A latent class cluster analysis.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180</w:t>
      </w:r>
      <w:r w:rsidRPr="00965FE1">
        <w:rPr>
          <w:color w:val="222222"/>
          <w:shd w:val="clear" w:color="auto" w:fill="FFFFFF"/>
        </w:rPr>
        <w:t>, 103966.</w:t>
      </w:r>
    </w:p>
    <w:p w14:paraId="3CE6D14D"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Shah, H., Carrel, A. L., and Le, H. T. (2024). Impacts of teleworking and online shopping on travel: a tour-based analysis. </w:t>
      </w:r>
      <w:r w:rsidRPr="00965FE1">
        <w:rPr>
          <w:i/>
          <w:iCs/>
          <w:color w:val="222222"/>
          <w:shd w:val="clear" w:color="auto" w:fill="FFFFFF"/>
        </w:rPr>
        <w:t>Transportation</w:t>
      </w:r>
      <w:r w:rsidRPr="00965FE1">
        <w:rPr>
          <w:color w:val="222222"/>
          <w:shd w:val="clear" w:color="auto" w:fill="FFFFFF"/>
        </w:rPr>
        <w:t>, </w:t>
      </w:r>
      <w:r w:rsidRPr="00965FE1">
        <w:rPr>
          <w:i/>
          <w:iCs/>
          <w:color w:val="222222"/>
          <w:shd w:val="clear" w:color="auto" w:fill="FFFFFF"/>
        </w:rPr>
        <w:t>51</w:t>
      </w:r>
      <w:r w:rsidRPr="00965FE1">
        <w:rPr>
          <w:color w:val="222222"/>
          <w:shd w:val="clear" w:color="auto" w:fill="FFFFFF"/>
        </w:rPr>
        <w:t>(1), 99-127.</w:t>
      </w:r>
    </w:p>
    <w:p w14:paraId="7DF8421F" w14:textId="77777777" w:rsidR="00DD5993" w:rsidRPr="00965FE1" w:rsidRDefault="00DD5993" w:rsidP="00DD5993">
      <w:pPr>
        <w:tabs>
          <w:tab w:val="left" w:pos="630"/>
        </w:tabs>
        <w:spacing w:after="0"/>
        <w:ind w:left="720" w:hanging="720"/>
        <w:rPr>
          <w:rStyle w:val="Hyperlink"/>
        </w:rPr>
      </w:pPr>
      <w:r w:rsidRPr="00965FE1">
        <w:t xml:space="preserve">Solon, G., Haider, S., and Wooldridge, J. (2015). What are we weighting for? </w:t>
      </w:r>
      <w:r w:rsidRPr="00965FE1">
        <w:rPr>
          <w:i/>
          <w:iCs/>
        </w:rPr>
        <w:t>Journal of Human Resources</w:t>
      </w:r>
      <w:r w:rsidRPr="00965FE1">
        <w:rPr>
          <w:iCs/>
        </w:rPr>
        <w:t>,</w:t>
      </w:r>
      <w:r w:rsidRPr="00965FE1">
        <w:t xml:space="preserve"> </w:t>
      </w:r>
      <w:r w:rsidRPr="00965FE1">
        <w:rPr>
          <w:i/>
        </w:rPr>
        <w:t>50</w:t>
      </w:r>
      <w:r w:rsidRPr="00965FE1">
        <w:t xml:space="preserve">(2), 301-316. </w:t>
      </w:r>
      <w:hyperlink r:id="rId218" w:history="1">
        <w:r w:rsidRPr="00965FE1">
          <w:rPr>
            <w:rStyle w:val="Hyperlink"/>
          </w:rPr>
          <w:t>https://doi.org/10.3386/w18859</w:t>
        </w:r>
      </w:hyperlink>
      <w:r w:rsidRPr="00965FE1">
        <w:rPr>
          <w:rStyle w:val="Hyperlink"/>
        </w:rPr>
        <w:t>.</w:t>
      </w:r>
    </w:p>
    <w:p w14:paraId="3B169D1F" w14:textId="77777777" w:rsidR="00254B1A" w:rsidRDefault="00DD5993" w:rsidP="00254B1A">
      <w:pPr>
        <w:tabs>
          <w:tab w:val="left" w:pos="630"/>
        </w:tabs>
        <w:spacing w:after="0"/>
        <w:ind w:left="720" w:hanging="720"/>
        <w:rPr>
          <w:rStyle w:val="Hyperlink"/>
        </w:rPr>
      </w:pPr>
      <w:r w:rsidRPr="00965FE1">
        <w:t xml:space="preserve">Srivastava, A., Van Passel, S., and </w:t>
      </w:r>
      <w:proofErr w:type="spellStart"/>
      <w:r w:rsidRPr="00965FE1">
        <w:t>Laes</w:t>
      </w:r>
      <w:proofErr w:type="spellEnd"/>
      <w:r w:rsidRPr="00965FE1">
        <w:t xml:space="preserve">, E. (2018). Assessing the success of electricity demand response programs: A meta-analysis. </w:t>
      </w:r>
      <w:r w:rsidRPr="00965FE1">
        <w:rPr>
          <w:i/>
          <w:iCs/>
        </w:rPr>
        <w:t>Energy Research &amp; Social Science</w:t>
      </w:r>
      <w:r w:rsidRPr="004B2796">
        <w:t>,</w:t>
      </w:r>
      <w:r w:rsidRPr="00965FE1">
        <w:rPr>
          <w:i/>
          <w:iCs/>
        </w:rPr>
        <w:t xml:space="preserve"> 40</w:t>
      </w:r>
      <w:r w:rsidRPr="00965FE1">
        <w:t>, 110-117.</w:t>
      </w:r>
    </w:p>
    <w:p w14:paraId="276F3EE9" w14:textId="09AC08B4" w:rsidR="00254B1A" w:rsidRDefault="00DD5993" w:rsidP="00254B1A">
      <w:pPr>
        <w:tabs>
          <w:tab w:val="left" w:pos="630"/>
        </w:tabs>
        <w:spacing w:after="0"/>
        <w:ind w:left="720" w:hanging="720"/>
        <w:rPr>
          <w:color w:val="0563C1" w:themeColor="hyperlink"/>
          <w:u w:val="single"/>
        </w:rPr>
      </w:pPr>
      <w:proofErr w:type="spellStart"/>
      <w:r w:rsidRPr="00254B1A">
        <w:t>Stickel</w:t>
      </w:r>
      <w:proofErr w:type="spellEnd"/>
      <w:r w:rsidRPr="00254B1A">
        <w:t>, M. D. (2020). Challenges and opportunities of digital nomadism and its implications for tomorrow</w:t>
      </w:r>
      <w:r w:rsidR="00254B1A">
        <w:t>’</w:t>
      </w:r>
      <w:r w:rsidRPr="00254B1A">
        <w:t>s workforce.</w:t>
      </w:r>
      <w:r w:rsidR="00254B1A" w:rsidRPr="00254B1A">
        <w:t xml:space="preserve"> </w:t>
      </w:r>
      <w:r w:rsidR="00254B1A" w:rsidRPr="00254B1A">
        <w:rPr>
          <w:i/>
          <w:iCs/>
        </w:rPr>
        <w:t>MA Dissertation</w:t>
      </w:r>
      <w:r w:rsidR="00254B1A" w:rsidRPr="00254B1A">
        <w:t xml:space="preserve">, NOVA School of Business and Economics, </w:t>
      </w:r>
      <w:proofErr w:type="spellStart"/>
      <w:r w:rsidR="00254B1A" w:rsidRPr="00254B1A">
        <w:t>Universidade</w:t>
      </w:r>
      <w:proofErr w:type="spellEnd"/>
      <w:r w:rsidR="00254B1A" w:rsidRPr="00254B1A">
        <w:t xml:space="preserve"> Nova de </w:t>
      </w:r>
      <w:proofErr w:type="spellStart"/>
      <w:r w:rsidR="00254B1A" w:rsidRPr="00254B1A">
        <w:t>Lisboa</w:t>
      </w:r>
      <w:proofErr w:type="spellEnd"/>
      <w:r w:rsidR="00254B1A" w:rsidRPr="00254B1A">
        <w:t>.</w:t>
      </w:r>
    </w:p>
    <w:p w14:paraId="2031A7AA" w14:textId="4C064419" w:rsidR="00DD5993" w:rsidRPr="00254B1A" w:rsidRDefault="00DD5993" w:rsidP="00254B1A">
      <w:pPr>
        <w:tabs>
          <w:tab w:val="left" w:pos="630"/>
        </w:tabs>
        <w:spacing w:after="0"/>
        <w:ind w:left="720" w:hanging="720"/>
        <w:rPr>
          <w:color w:val="0563C1" w:themeColor="hyperlink"/>
          <w:u w:val="single"/>
        </w:rPr>
      </w:pPr>
      <w:r w:rsidRPr="00965FE1">
        <w:t xml:space="preserve">Stiles, J., and Smart, M. J. (2021). Working at home and elsewhere: daily work location, telework, and travel among United States knowledge workers. </w:t>
      </w:r>
      <w:r w:rsidRPr="00965FE1">
        <w:rPr>
          <w:i/>
          <w:iCs/>
        </w:rPr>
        <w:t>Transportation</w:t>
      </w:r>
      <w:r w:rsidRPr="00965FE1">
        <w:t>, 48(5), 2461-2491.</w:t>
      </w:r>
    </w:p>
    <w:p w14:paraId="2BF9E81F"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Tahlyan, D., Said, M., Mahmassani, H., Stathopoulos, A., Walker, J., and Shaheen, S. (2022). For whom did telework not work during the Pandemic? understanding the factors impacting telework satisfaction in the US using a multiple indicator multiple cause (MIMIC) model. </w:t>
      </w:r>
      <w:r w:rsidRPr="00965FE1">
        <w:rPr>
          <w:i/>
          <w:iCs/>
          <w:color w:val="222222"/>
          <w:shd w:val="clear" w:color="auto" w:fill="FFFFFF"/>
        </w:rPr>
        <w:t>Transportation Research Part A: Policy and Practice</w:t>
      </w:r>
      <w:r w:rsidRPr="00965FE1">
        <w:rPr>
          <w:color w:val="222222"/>
          <w:shd w:val="clear" w:color="auto" w:fill="FFFFFF"/>
        </w:rPr>
        <w:t>, </w:t>
      </w:r>
      <w:r w:rsidRPr="00965FE1">
        <w:rPr>
          <w:i/>
          <w:iCs/>
          <w:color w:val="222222"/>
          <w:shd w:val="clear" w:color="auto" w:fill="FFFFFF"/>
        </w:rPr>
        <w:t>155</w:t>
      </w:r>
      <w:r w:rsidRPr="00965FE1">
        <w:rPr>
          <w:color w:val="222222"/>
          <w:shd w:val="clear" w:color="auto" w:fill="FFFFFF"/>
        </w:rPr>
        <w:t>, 387-402.</w:t>
      </w:r>
    </w:p>
    <w:p w14:paraId="2D4AAC0E" w14:textId="77777777" w:rsidR="00DD5993" w:rsidRPr="00965FE1" w:rsidRDefault="00DD5993" w:rsidP="00DD5993">
      <w:pPr>
        <w:pStyle w:val="NormalWeb"/>
        <w:spacing w:before="0" w:beforeAutospacing="0" w:after="0" w:afterAutospacing="0"/>
        <w:ind w:left="720" w:hanging="720"/>
      </w:pPr>
      <w:r w:rsidRPr="00965FE1">
        <w:t xml:space="preserve">U.S. Bureau of Labor Statistics (2023). </w:t>
      </w:r>
      <w:r w:rsidRPr="00965FE1">
        <w:rPr>
          <w:i/>
          <w:iCs/>
        </w:rPr>
        <w:t>American Time Use Survey Summary - 2022 A01 results</w:t>
      </w:r>
      <w:r w:rsidRPr="00965FE1">
        <w:t xml:space="preserve">. U.S. Bureau of Labor Statistics. Available at: </w:t>
      </w:r>
      <w:hyperlink r:id="rId219" w:anchor=":~:text=On%20an%20average%20day%2C%20individuals%20age%2075%20and%20over%20spent,(See%20table%2011A.)" w:history="1">
        <w:r w:rsidRPr="00965FE1">
          <w:rPr>
            <w:rStyle w:val="Hyperlink"/>
            <w:rFonts w:eastAsiaTheme="majorEastAsia"/>
          </w:rPr>
          <w:t>https://www.bls.gov/news.release/atus.nr0.htm#:~:text=On%20an%20average%20day%2C%20individuals%20age%2075%20and%20over%20spent,(See%20table%2011A.)</w:t>
        </w:r>
      </w:hyperlink>
      <w:r w:rsidRPr="00965FE1">
        <w:t>. Accessed on May 22, 2024.</w:t>
      </w:r>
    </w:p>
    <w:p w14:paraId="24B750CE" w14:textId="24B1C8F3" w:rsidR="00DD5993" w:rsidRPr="00965FE1" w:rsidRDefault="00DD5993" w:rsidP="00DD5993">
      <w:pPr>
        <w:spacing w:after="0"/>
        <w:ind w:left="720" w:hanging="720"/>
      </w:pPr>
      <w:r w:rsidRPr="00965FE1">
        <w:t xml:space="preserve">U.S. Census Bureau (2023). Minneapolis city, Minnesota. Available at: </w:t>
      </w:r>
      <w:hyperlink r:id="rId220" w:history="1">
        <w:r w:rsidR="00CB28A2" w:rsidRPr="00EA01B7">
          <w:rPr>
            <w:rStyle w:val="Hyperlink"/>
          </w:rPr>
          <w:t>https://www.census.gov/quickfacts/fact/table/minneapoliscityminnesota/PST045223</w:t>
        </w:r>
      </w:hyperlink>
      <w:r w:rsidRPr="00965FE1">
        <w:t>.</w:t>
      </w:r>
      <w:r w:rsidR="00CB28A2">
        <w:t xml:space="preserve"> </w:t>
      </w:r>
      <w:r w:rsidRPr="00965FE1">
        <w:t xml:space="preserve"> Accessed February 12, 2024.</w:t>
      </w:r>
    </w:p>
    <w:p w14:paraId="27A3BFC3" w14:textId="1B6A5860" w:rsidR="00DD5993" w:rsidRPr="00CB28A2" w:rsidRDefault="00DD5993" w:rsidP="00DD5993">
      <w:pPr>
        <w:spacing w:after="0"/>
        <w:ind w:left="720" w:hanging="720"/>
      </w:pPr>
      <w:proofErr w:type="spellStart"/>
      <w:r w:rsidRPr="00965FE1">
        <w:rPr>
          <w:color w:val="222222"/>
          <w:shd w:val="clear" w:color="auto" w:fill="FFFFFF"/>
        </w:rPr>
        <w:t>Varvello</w:t>
      </w:r>
      <w:proofErr w:type="spellEnd"/>
      <w:r w:rsidRPr="00965FE1">
        <w:rPr>
          <w:color w:val="222222"/>
          <w:shd w:val="clear" w:color="auto" w:fill="FFFFFF"/>
        </w:rPr>
        <w:t xml:space="preserve">, J. C., Camusso, J., and Navarro, A. I. (2023). Does </w:t>
      </w:r>
      <w:r w:rsidR="00CB28A2">
        <w:rPr>
          <w:color w:val="222222"/>
          <w:shd w:val="clear" w:color="auto" w:fill="FFFFFF"/>
        </w:rPr>
        <w:t>t</w:t>
      </w:r>
      <w:r w:rsidRPr="00965FE1">
        <w:rPr>
          <w:color w:val="222222"/>
          <w:shd w:val="clear" w:color="auto" w:fill="FFFFFF"/>
        </w:rPr>
        <w:t xml:space="preserve">eleworking </w:t>
      </w:r>
      <w:r w:rsidR="00CB28A2">
        <w:rPr>
          <w:color w:val="222222"/>
          <w:shd w:val="clear" w:color="auto" w:fill="FFFFFF"/>
        </w:rPr>
        <w:t>a</w:t>
      </w:r>
      <w:r w:rsidRPr="00965FE1">
        <w:rPr>
          <w:color w:val="222222"/>
          <w:shd w:val="clear" w:color="auto" w:fill="FFFFFF"/>
        </w:rPr>
        <w:t xml:space="preserve">ffect the </w:t>
      </w:r>
      <w:r w:rsidR="00CB28A2">
        <w:rPr>
          <w:color w:val="222222"/>
          <w:shd w:val="clear" w:color="auto" w:fill="FFFFFF"/>
        </w:rPr>
        <w:t>l</w:t>
      </w:r>
      <w:r w:rsidRPr="00965FE1">
        <w:rPr>
          <w:color w:val="222222"/>
          <w:shd w:val="clear" w:color="auto" w:fill="FFFFFF"/>
        </w:rPr>
        <w:t xml:space="preserve">abor </w:t>
      </w:r>
      <w:r w:rsidR="00CB28A2">
        <w:rPr>
          <w:color w:val="222222"/>
          <w:shd w:val="clear" w:color="auto" w:fill="FFFFFF"/>
        </w:rPr>
        <w:t>i</w:t>
      </w:r>
      <w:r w:rsidRPr="00965FE1">
        <w:rPr>
          <w:color w:val="222222"/>
          <w:shd w:val="clear" w:color="auto" w:fill="FFFFFF"/>
        </w:rPr>
        <w:t xml:space="preserve">ncome </w:t>
      </w:r>
      <w:r w:rsidR="00CB28A2">
        <w:rPr>
          <w:color w:val="222222"/>
          <w:shd w:val="clear" w:color="auto" w:fill="FFFFFF"/>
        </w:rPr>
        <w:t>d</w:t>
      </w:r>
      <w:r w:rsidRPr="00965FE1">
        <w:rPr>
          <w:color w:val="222222"/>
          <w:shd w:val="clear" w:color="auto" w:fill="FFFFFF"/>
        </w:rPr>
        <w:t xml:space="preserve">istribution? Empirical </w:t>
      </w:r>
      <w:r w:rsidR="00CB28A2">
        <w:rPr>
          <w:color w:val="222222"/>
          <w:shd w:val="clear" w:color="auto" w:fill="FFFFFF"/>
        </w:rPr>
        <w:t>e</w:t>
      </w:r>
      <w:r w:rsidRPr="00965FE1">
        <w:rPr>
          <w:color w:val="222222"/>
          <w:shd w:val="clear" w:color="auto" w:fill="FFFFFF"/>
        </w:rPr>
        <w:t xml:space="preserve">vidence </w:t>
      </w:r>
      <w:r w:rsidR="00CB28A2">
        <w:rPr>
          <w:color w:val="222222"/>
          <w:shd w:val="clear" w:color="auto" w:fill="FFFFFF"/>
        </w:rPr>
        <w:t>f</w:t>
      </w:r>
      <w:r w:rsidRPr="00965FE1">
        <w:rPr>
          <w:color w:val="222222"/>
          <w:shd w:val="clear" w:color="auto" w:fill="FFFFFF"/>
        </w:rPr>
        <w:t>rom South American Countries.</w:t>
      </w:r>
      <w:r w:rsidR="00CB28A2">
        <w:rPr>
          <w:rFonts w:ascii="NexusSansWebPro" w:hAnsi="NexusSansWebPro"/>
          <w:color w:val="505050"/>
          <w:shd w:val="clear" w:color="auto" w:fill="FFFFFF"/>
        </w:rPr>
        <w:t xml:space="preserve"> </w:t>
      </w:r>
      <w:r w:rsidR="00CB28A2" w:rsidRPr="00CB28A2">
        <w:t>Available at SSRN: </w:t>
      </w:r>
      <w:hyperlink r:id="rId221" w:tgtFrame="_blank" w:history="1">
        <w:r w:rsidR="00CB28A2" w:rsidRPr="00CB28A2">
          <w:rPr>
            <w:rStyle w:val="Hyperlink"/>
          </w:rPr>
          <w:t>https://ssrn.com/abstract=4632592</w:t>
        </w:r>
      </w:hyperlink>
      <w:r w:rsidR="00CB28A2" w:rsidRPr="00CB28A2">
        <w:t>.</w:t>
      </w:r>
    </w:p>
    <w:p w14:paraId="500055E9" w14:textId="77777777" w:rsidR="00DD5993" w:rsidRPr="00965FE1" w:rsidRDefault="00DD5993" w:rsidP="00DD5993">
      <w:pPr>
        <w:spacing w:after="0"/>
        <w:ind w:left="720" w:hanging="720"/>
        <w:rPr>
          <w:color w:val="222222"/>
          <w:shd w:val="clear" w:color="auto" w:fill="FFFFFF"/>
        </w:rPr>
      </w:pPr>
      <w:r w:rsidRPr="00965FE1">
        <w:t xml:space="preserve">Waddell, P. C., Bhat, C. B., Eluru, N., Wang, L., and Pendyala, R. M. (2007). Modeling interdependence in household residence and workplace choices. </w:t>
      </w:r>
      <w:r w:rsidRPr="004B2796">
        <w:rPr>
          <w:i/>
          <w:iCs/>
        </w:rPr>
        <w:t>Transportation Research Record</w:t>
      </w:r>
      <w:r w:rsidRPr="00965FE1">
        <w:t xml:space="preserve">, </w:t>
      </w:r>
      <w:r w:rsidRPr="004B2796">
        <w:rPr>
          <w:i/>
          <w:iCs/>
        </w:rPr>
        <w:t>2003</w:t>
      </w:r>
      <w:r w:rsidRPr="00965FE1">
        <w:t>, 84-92.</w:t>
      </w:r>
    </w:p>
    <w:p w14:paraId="37EC9CB8"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 xml:space="preserve">Wang, K., and Akar, G. (2023). Will millennials drive less as the economy recovers: a </w:t>
      </w:r>
      <w:proofErr w:type="spellStart"/>
      <w:r w:rsidRPr="00965FE1">
        <w:rPr>
          <w:color w:val="222222"/>
          <w:shd w:val="clear" w:color="auto" w:fill="FFFFFF"/>
        </w:rPr>
        <w:t>postrecession</w:t>
      </w:r>
      <w:proofErr w:type="spellEnd"/>
      <w:r w:rsidRPr="00965FE1">
        <w:rPr>
          <w:color w:val="222222"/>
          <w:shd w:val="clear" w:color="auto" w:fill="FFFFFF"/>
        </w:rPr>
        <w:t xml:space="preserve"> analysis of automobile travel patterns. </w:t>
      </w:r>
      <w:r w:rsidRPr="00965FE1">
        <w:rPr>
          <w:i/>
          <w:iCs/>
          <w:color w:val="222222"/>
          <w:shd w:val="clear" w:color="auto" w:fill="FFFFFF"/>
        </w:rPr>
        <w:t>Journal of Planning Education and Research</w:t>
      </w:r>
      <w:r w:rsidRPr="00965FE1">
        <w:rPr>
          <w:color w:val="222222"/>
          <w:shd w:val="clear" w:color="auto" w:fill="FFFFFF"/>
        </w:rPr>
        <w:t>, </w:t>
      </w:r>
      <w:r w:rsidRPr="00965FE1">
        <w:rPr>
          <w:i/>
          <w:iCs/>
          <w:color w:val="222222"/>
          <w:shd w:val="clear" w:color="auto" w:fill="FFFFFF"/>
        </w:rPr>
        <w:t>43</w:t>
      </w:r>
      <w:r w:rsidRPr="00965FE1">
        <w:rPr>
          <w:color w:val="222222"/>
          <w:shd w:val="clear" w:color="auto" w:fill="FFFFFF"/>
        </w:rPr>
        <w:t>(3), 598-616.</w:t>
      </w:r>
    </w:p>
    <w:p w14:paraId="0B4506DA" w14:textId="2AA2BD7B" w:rsidR="00DD5993" w:rsidRPr="00965FE1" w:rsidRDefault="00DD5993" w:rsidP="00DD5993">
      <w:pPr>
        <w:spacing w:after="0"/>
        <w:ind w:left="720" w:hanging="720"/>
        <w:rPr>
          <w:color w:val="222222"/>
          <w:shd w:val="clear" w:color="auto" w:fill="FFFFFF"/>
        </w:rPr>
      </w:pPr>
      <w:r w:rsidRPr="00965FE1">
        <w:rPr>
          <w:color w:val="222222"/>
          <w:shd w:val="clear" w:color="auto" w:fill="FFFFFF"/>
        </w:rPr>
        <w:t>Wöhner, F. (2022). Work flexibly, travel less? The impact of telework and flextime on mobility behavior in Switzerland. </w:t>
      </w:r>
      <w:r w:rsidRPr="00965FE1">
        <w:rPr>
          <w:i/>
          <w:iCs/>
          <w:color w:val="222222"/>
          <w:shd w:val="clear" w:color="auto" w:fill="FFFFFF"/>
        </w:rPr>
        <w:t xml:space="preserve">Journal of </w:t>
      </w:r>
      <w:r w:rsidR="004B2796">
        <w:rPr>
          <w:i/>
          <w:iCs/>
          <w:color w:val="222222"/>
          <w:shd w:val="clear" w:color="auto" w:fill="FFFFFF"/>
        </w:rPr>
        <w:t>T</w:t>
      </w:r>
      <w:r w:rsidRPr="00965FE1">
        <w:rPr>
          <w:i/>
          <w:iCs/>
          <w:color w:val="222222"/>
          <w:shd w:val="clear" w:color="auto" w:fill="FFFFFF"/>
        </w:rPr>
        <w:t xml:space="preserve">ransport </w:t>
      </w:r>
      <w:r w:rsidR="004B2796">
        <w:rPr>
          <w:i/>
          <w:iCs/>
          <w:color w:val="222222"/>
          <w:shd w:val="clear" w:color="auto" w:fill="FFFFFF"/>
        </w:rPr>
        <w:t>G</w:t>
      </w:r>
      <w:r w:rsidRPr="00965FE1">
        <w:rPr>
          <w:i/>
          <w:iCs/>
          <w:color w:val="222222"/>
          <w:shd w:val="clear" w:color="auto" w:fill="FFFFFF"/>
        </w:rPr>
        <w:t>eography</w:t>
      </w:r>
      <w:r w:rsidRPr="00965FE1">
        <w:rPr>
          <w:color w:val="222222"/>
          <w:shd w:val="clear" w:color="auto" w:fill="FFFFFF"/>
        </w:rPr>
        <w:t>, </w:t>
      </w:r>
      <w:r w:rsidRPr="00965FE1">
        <w:rPr>
          <w:i/>
          <w:iCs/>
          <w:color w:val="222222"/>
          <w:shd w:val="clear" w:color="auto" w:fill="FFFFFF"/>
        </w:rPr>
        <w:t>102</w:t>
      </w:r>
      <w:r w:rsidRPr="00965FE1">
        <w:rPr>
          <w:color w:val="222222"/>
          <w:shd w:val="clear" w:color="auto" w:fill="FFFFFF"/>
        </w:rPr>
        <w:t>, 103390.</w:t>
      </w:r>
    </w:p>
    <w:p w14:paraId="7224A206" w14:textId="77777777" w:rsidR="00DD5993" w:rsidRPr="00965FE1" w:rsidRDefault="00DD5993" w:rsidP="00DD5993">
      <w:pPr>
        <w:tabs>
          <w:tab w:val="left" w:pos="630"/>
        </w:tabs>
        <w:spacing w:after="0"/>
        <w:ind w:left="720" w:hanging="720"/>
      </w:pPr>
      <w:r w:rsidRPr="00965FE1">
        <w:t xml:space="preserve">Wooldridge, J. M. (1995). Selection corrections for panel data models under conditional mean independence assumptions. </w:t>
      </w:r>
      <w:r w:rsidRPr="00965FE1">
        <w:rPr>
          <w:i/>
          <w:iCs/>
        </w:rPr>
        <w:t>Journal of Econometrics</w:t>
      </w:r>
      <w:r w:rsidRPr="00965FE1">
        <w:t xml:space="preserve">, </w:t>
      </w:r>
      <w:r w:rsidRPr="00965FE1">
        <w:rPr>
          <w:i/>
        </w:rPr>
        <w:t>68</w:t>
      </w:r>
      <w:r w:rsidRPr="00965FE1">
        <w:t xml:space="preserve">(1), 115-132. </w:t>
      </w:r>
    </w:p>
    <w:p w14:paraId="0268AF4D" w14:textId="45F6DBE1" w:rsidR="00DD5993" w:rsidRPr="00965FE1" w:rsidRDefault="00DD5993" w:rsidP="00DD5993">
      <w:pPr>
        <w:tabs>
          <w:tab w:val="left" w:pos="630"/>
        </w:tabs>
        <w:spacing w:after="0"/>
        <w:ind w:left="720" w:hanging="720"/>
        <w:rPr>
          <w:sz w:val="32"/>
        </w:rPr>
      </w:pPr>
      <w:r w:rsidRPr="00965FE1">
        <w:rPr>
          <w:color w:val="222222"/>
          <w:shd w:val="clear" w:color="auto" w:fill="FFFFFF"/>
        </w:rPr>
        <w:t>Xing, Y., Wang, K., and Lu, J. J. (2020). Exploring travel patterns and trip purposes of dockless bike-sharing by analyzing massive bike-sharing data in Shanghai, China. </w:t>
      </w:r>
      <w:r w:rsidRPr="00965FE1">
        <w:rPr>
          <w:i/>
          <w:color w:val="222222"/>
          <w:shd w:val="clear" w:color="auto" w:fill="FFFFFF"/>
        </w:rPr>
        <w:t xml:space="preserve">Journal of </w:t>
      </w:r>
      <w:r w:rsidR="004B2796">
        <w:rPr>
          <w:i/>
          <w:color w:val="222222"/>
          <w:shd w:val="clear" w:color="auto" w:fill="FFFFFF"/>
        </w:rPr>
        <w:t>T</w:t>
      </w:r>
      <w:r w:rsidRPr="00965FE1">
        <w:rPr>
          <w:i/>
          <w:color w:val="222222"/>
          <w:shd w:val="clear" w:color="auto" w:fill="FFFFFF"/>
        </w:rPr>
        <w:t xml:space="preserve">ransport </w:t>
      </w:r>
      <w:r w:rsidR="004B2796">
        <w:rPr>
          <w:i/>
          <w:color w:val="222222"/>
          <w:shd w:val="clear" w:color="auto" w:fill="FFFFFF"/>
        </w:rPr>
        <w:t>G</w:t>
      </w:r>
      <w:r w:rsidRPr="00965FE1">
        <w:rPr>
          <w:i/>
          <w:color w:val="222222"/>
          <w:shd w:val="clear" w:color="auto" w:fill="FFFFFF"/>
        </w:rPr>
        <w:t>eography</w:t>
      </w:r>
      <w:r w:rsidRPr="00965FE1">
        <w:rPr>
          <w:color w:val="222222"/>
          <w:shd w:val="clear" w:color="auto" w:fill="FFFFFF"/>
        </w:rPr>
        <w:t>, </w:t>
      </w:r>
      <w:r w:rsidRPr="00965FE1">
        <w:rPr>
          <w:i/>
          <w:color w:val="222222"/>
          <w:shd w:val="clear" w:color="auto" w:fill="FFFFFF"/>
        </w:rPr>
        <w:t>87</w:t>
      </w:r>
      <w:r w:rsidRPr="00965FE1">
        <w:rPr>
          <w:color w:val="222222"/>
          <w:shd w:val="clear" w:color="auto" w:fill="FFFFFF"/>
        </w:rPr>
        <w:t>, 102787.</w:t>
      </w:r>
    </w:p>
    <w:p w14:paraId="0519DED7" w14:textId="77777777" w:rsidR="00DD5993" w:rsidRPr="00965FE1" w:rsidRDefault="00DD5993" w:rsidP="00DD5993">
      <w:pPr>
        <w:spacing w:after="0"/>
        <w:ind w:left="720" w:hanging="720"/>
        <w:rPr>
          <w:i/>
          <w:iCs/>
          <w:color w:val="222222"/>
          <w:shd w:val="clear" w:color="auto" w:fill="FFFFFF"/>
        </w:rPr>
      </w:pPr>
      <w:proofErr w:type="spellStart"/>
      <w:r w:rsidRPr="00965FE1">
        <w:rPr>
          <w:color w:val="222222"/>
          <w:shd w:val="clear" w:color="auto" w:fill="FFFFFF"/>
        </w:rPr>
        <w:t>Yasenov</w:t>
      </w:r>
      <w:proofErr w:type="spellEnd"/>
      <w:r w:rsidRPr="00965FE1">
        <w:rPr>
          <w:color w:val="222222"/>
          <w:shd w:val="clear" w:color="auto" w:fill="FFFFFF"/>
        </w:rPr>
        <w:t xml:space="preserve">, V. I. (2020). Who can work from home? Technical Paper. </w:t>
      </w:r>
      <w:r w:rsidRPr="00965FE1">
        <w:rPr>
          <w:i/>
          <w:iCs/>
          <w:color w:val="222222"/>
          <w:shd w:val="clear" w:color="auto" w:fill="FFFFFF"/>
        </w:rPr>
        <w:t>Institute for the Study of Labor (IZA), IZA Discussion Paper Series.</w:t>
      </w:r>
    </w:p>
    <w:p w14:paraId="4C86849F" w14:textId="47CDA0BC" w:rsidR="00DD5993" w:rsidRPr="00965FE1" w:rsidRDefault="00DD5993" w:rsidP="00DD5993">
      <w:pPr>
        <w:spacing w:after="0"/>
        <w:ind w:left="720" w:hanging="720"/>
        <w:rPr>
          <w:color w:val="222222"/>
          <w:shd w:val="clear" w:color="auto" w:fill="FFFFFF"/>
        </w:rPr>
      </w:pPr>
      <w:r w:rsidRPr="00965FE1">
        <w:rPr>
          <w:color w:val="222222"/>
          <w:shd w:val="clear" w:color="auto" w:fill="FFFFFF"/>
        </w:rPr>
        <w:t>Zhen, C. (2015). </w:t>
      </w:r>
      <w:r w:rsidRPr="00254B1A">
        <w:t>Impact of ride-sourcing services on travel habits and transportation planning</w:t>
      </w:r>
      <w:r w:rsidR="00254B1A">
        <w:rPr>
          <w:color w:val="222222"/>
          <w:shd w:val="clear" w:color="auto" w:fill="FFFFFF"/>
        </w:rPr>
        <w:t xml:space="preserve">. </w:t>
      </w:r>
      <w:r w:rsidR="00254B1A" w:rsidRPr="00254B1A">
        <w:rPr>
          <w:i/>
          <w:iCs/>
          <w:color w:val="222222"/>
          <w:shd w:val="clear" w:color="auto" w:fill="FFFFFF"/>
        </w:rPr>
        <w:t>MS Thesis</w:t>
      </w:r>
      <w:r w:rsidRPr="00965FE1">
        <w:rPr>
          <w:color w:val="222222"/>
          <w:shd w:val="clear" w:color="auto" w:fill="FFFFFF"/>
        </w:rPr>
        <w:t>, University of Pittsburgh.</w:t>
      </w:r>
    </w:p>
    <w:p w14:paraId="5F9AA02B"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lastRenderedPageBreak/>
        <w:t>Zhu, P. (2012). Are telecommuting and personal travel complements or substitutes?. </w:t>
      </w:r>
      <w:r w:rsidRPr="00965FE1">
        <w:rPr>
          <w:i/>
          <w:iCs/>
          <w:color w:val="222222"/>
          <w:shd w:val="clear" w:color="auto" w:fill="FFFFFF"/>
        </w:rPr>
        <w:t>The Annals of Regional Science</w:t>
      </w:r>
      <w:r w:rsidRPr="00965FE1">
        <w:rPr>
          <w:color w:val="222222"/>
          <w:shd w:val="clear" w:color="auto" w:fill="FFFFFF"/>
        </w:rPr>
        <w:t>, </w:t>
      </w:r>
      <w:r w:rsidRPr="00965FE1">
        <w:rPr>
          <w:i/>
          <w:iCs/>
          <w:color w:val="222222"/>
          <w:shd w:val="clear" w:color="auto" w:fill="FFFFFF"/>
        </w:rPr>
        <w:t>48</w:t>
      </w:r>
      <w:r w:rsidRPr="00965FE1">
        <w:rPr>
          <w:color w:val="222222"/>
          <w:shd w:val="clear" w:color="auto" w:fill="FFFFFF"/>
        </w:rPr>
        <w:t>(2), 619-639.</w:t>
      </w:r>
    </w:p>
    <w:p w14:paraId="49FF6910" w14:textId="77777777" w:rsidR="00DD5993" w:rsidRPr="00965FE1" w:rsidRDefault="00DD5993" w:rsidP="00DD5993">
      <w:pPr>
        <w:spacing w:after="0"/>
        <w:ind w:left="720" w:hanging="720"/>
        <w:rPr>
          <w:color w:val="222222"/>
          <w:shd w:val="clear" w:color="auto" w:fill="FFFFFF"/>
        </w:rPr>
      </w:pPr>
      <w:r w:rsidRPr="00965FE1">
        <w:rPr>
          <w:color w:val="222222"/>
          <w:shd w:val="clear" w:color="auto" w:fill="FFFFFF"/>
        </w:rPr>
        <w:t>Zhu, P., and Mason, S. G. (2014). The impact of telecommuting on personal vehicle usage and environmental sustainability. </w:t>
      </w:r>
      <w:r w:rsidRPr="00965FE1">
        <w:rPr>
          <w:i/>
          <w:iCs/>
          <w:color w:val="222222"/>
          <w:shd w:val="clear" w:color="auto" w:fill="FFFFFF"/>
        </w:rPr>
        <w:t>International Journal of Environmental Science and Technology</w:t>
      </w:r>
      <w:r w:rsidRPr="00965FE1">
        <w:rPr>
          <w:color w:val="222222"/>
          <w:shd w:val="clear" w:color="auto" w:fill="FFFFFF"/>
        </w:rPr>
        <w:t>, </w:t>
      </w:r>
      <w:r w:rsidRPr="00965FE1">
        <w:rPr>
          <w:i/>
          <w:iCs/>
          <w:color w:val="222222"/>
          <w:shd w:val="clear" w:color="auto" w:fill="FFFFFF"/>
        </w:rPr>
        <w:t>11</w:t>
      </w:r>
      <w:r w:rsidRPr="00965FE1">
        <w:rPr>
          <w:color w:val="222222"/>
          <w:shd w:val="clear" w:color="auto" w:fill="FFFFFF"/>
        </w:rPr>
        <w:t>, 2185-2200.</w:t>
      </w:r>
    </w:p>
    <w:p w14:paraId="43D559E4" w14:textId="77777777" w:rsidR="00904FE0" w:rsidRPr="00E465D0" w:rsidRDefault="00904FE0" w:rsidP="00C2241C">
      <w:pPr>
        <w:spacing w:after="0"/>
        <w:ind w:left="720" w:hanging="720"/>
        <w:rPr>
          <w:color w:val="222222"/>
          <w:shd w:val="clear" w:color="auto" w:fill="FFFFFF"/>
        </w:rPr>
      </w:pPr>
    </w:p>
    <w:p w14:paraId="6237FF4C" w14:textId="77777777" w:rsidR="00E465D0" w:rsidRPr="00E465D0" w:rsidRDefault="004128E0" w:rsidP="00C2241C">
      <w:pPr>
        <w:jc w:val="left"/>
        <w:sectPr w:rsidR="00E465D0" w:rsidRPr="00E465D0" w:rsidSect="00AB55F1">
          <w:footerReference w:type="default" r:id="rId222"/>
          <w:pgSz w:w="12240" w:h="15840"/>
          <w:pgMar w:top="1440" w:right="1440" w:bottom="1440" w:left="1440" w:header="720" w:footer="720" w:gutter="0"/>
          <w:pgNumType w:start="1"/>
          <w:cols w:space="720"/>
          <w:docGrid w:linePitch="360"/>
        </w:sectPr>
      </w:pPr>
      <w:r w:rsidRPr="00E465D0">
        <w:br w:type="page"/>
      </w:r>
    </w:p>
    <w:p w14:paraId="6F88B1FE" w14:textId="42B932AD" w:rsidR="00E465D0" w:rsidRPr="00E465D0" w:rsidRDefault="00E465D0" w:rsidP="00A2119B">
      <w:pPr>
        <w:spacing w:after="0"/>
        <w:rPr>
          <w:b/>
          <w:bCs/>
        </w:rPr>
      </w:pPr>
      <w:bookmarkStart w:id="27" w:name="_Hlk161817648"/>
      <w:bookmarkStart w:id="28" w:name="_Hlk139224492"/>
      <w:r w:rsidRPr="00E465D0">
        <w:rPr>
          <w:b/>
          <w:bCs/>
        </w:rPr>
        <w:lastRenderedPageBreak/>
        <w:t>Table 1</w:t>
      </w:r>
      <w:r w:rsidR="005D4542">
        <w:rPr>
          <w:b/>
          <w:bCs/>
        </w:rPr>
        <w:t>.</w:t>
      </w:r>
      <w:r w:rsidRPr="00E465D0">
        <w:rPr>
          <w:b/>
          <w:bCs/>
        </w:rPr>
        <w:t xml:space="preserve"> Sample Distribution of Exogenous Variables (N=1920)</w:t>
      </w:r>
    </w:p>
    <w:tbl>
      <w:tblPr>
        <w:tblW w:w="14407" w:type="dxa"/>
        <w:tblInd w:w="-23" w:type="dxa"/>
        <w:tblLayout w:type="fixed"/>
        <w:tblLook w:val="04A0" w:firstRow="1" w:lastRow="0" w:firstColumn="1" w:lastColumn="0" w:noHBand="0" w:noVBand="1"/>
      </w:tblPr>
      <w:tblGrid>
        <w:gridCol w:w="3238"/>
        <w:gridCol w:w="900"/>
        <w:gridCol w:w="809"/>
        <w:gridCol w:w="810"/>
        <w:gridCol w:w="5050"/>
        <w:gridCol w:w="803"/>
        <w:gridCol w:w="806"/>
        <w:gridCol w:w="810"/>
        <w:gridCol w:w="1181"/>
      </w:tblGrid>
      <w:tr w:rsidR="00E465D0" w:rsidRPr="004B2796" w14:paraId="5C198D73" w14:textId="77777777" w:rsidTr="00AB236A">
        <w:trPr>
          <w:gridAfter w:val="1"/>
          <w:wAfter w:w="1178" w:type="dxa"/>
          <w:trHeight w:val="274"/>
        </w:trPr>
        <w:tc>
          <w:tcPr>
            <w:tcW w:w="3240" w:type="dxa"/>
            <w:tcBorders>
              <w:top w:val="double" w:sz="6" w:space="0" w:color="auto"/>
              <w:left w:val="double" w:sz="6" w:space="0" w:color="auto"/>
              <w:bottom w:val="double" w:sz="4" w:space="0" w:color="auto"/>
              <w:right w:val="nil"/>
            </w:tcBorders>
            <w:shd w:val="clear" w:color="auto" w:fill="auto"/>
            <w:noWrap/>
            <w:vAlign w:val="center"/>
            <w:hideMark/>
          </w:tcPr>
          <w:p w14:paraId="6A214546" w14:textId="77777777" w:rsidR="00E465D0" w:rsidRPr="004B2796" w:rsidRDefault="00E465D0" w:rsidP="00302827">
            <w:pPr>
              <w:spacing w:after="0"/>
              <w:rPr>
                <w:b/>
                <w:bCs/>
                <w:sz w:val="22"/>
                <w:szCs w:val="22"/>
              </w:rPr>
            </w:pPr>
            <w:r w:rsidRPr="004B2796">
              <w:rPr>
                <w:b/>
                <w:bCs/>
                <w:sz w:val="22"/>
                <w:szCs w:val="22"/>
              </w:rPr>
              <w:t>Variable</w:t>
            </w:r>
          </w:p>
        </w:tc>
        <w:tc>
          <w:tcPr>
            <w:tcW w:w="900" w:type="dxa"/>
            <w:tcBorders>
              <w:top w:val="double" w:sz="6" w:space="0" w:color="auto"/>
              <w:left w:val="nil"/>
              <w:bottom w:val="double" w:sz="4" w:space="0" w:color="auto"/>
              <w:right w:val="nil"/>
            </w:tcBorders>
            <w:shd w:val="clear" w:color="auto" w:fill="auto"/>
            <w:noWrap/>
            <w:vAlign w:val="center"/>
            <w:hideMark/>
          </w:tcPr>
          <w:p w14:paraId="196B6CC4" w14:textId="77777777" w:rsidR="00E465D0" w:rsidRPr="004B2796" w:rsidRDefault="00E465D0" w:rsidP="00302827">
            <w:pPr>
              <w:spacing w:after="0"/>
              <w:jc w:val="center"/>
              <w:rPr>
                <w:b/>
                <w:bCs/>
                <w:sz w:val="22"/>
                <w:szCs w:val="22"/>
              </w:rPr>
            </w:pPr>
            <w:r w:rsidRPr="004B2796">
              <w:rPr>
                <w:b/>
                <w:bCs/>
                <w:sz w:val="22"/>
                <w:szCs w:val="22"/>
              </w:rPr>
              <w:t>Count</w:t>
            </w:r>
          </w:p>
        </w:tc>
        <w:tc>
          <w:tcPr>
            <w:tcW w:w="809" w:type="dxa"/>
            <w:tcBorders>
              <w:top w:val="double" w:sz="6" w:space="0" w:color="auto"/>
              <w:left w:val="nil"/>
              <w:bottom w:val="double" w:sz="4" w:space="0" w:color="auto"/>
              <w:right w:val="nil"/>
            </w:tcBorders>
            <w:vAlign w:val="center"/>
          </w:tcPr>
          <w:p w14:paraId="493868FA" w14:textId="77777777" w:rsidR="00E465D0" w:rsidRPr="004B2796" w:rsidRDefault="00E465D0" w:rsidP="00302827">
            <w:pPr>
              <w:spacing w:after="0"/>
              <w:jc w:val="center"/>
              <w:rPr>
                <w:b/>
                <w:bCs/>
                <w:sz w:val="22"/>
                <w:szCs w:val="22"/>
              </w:rPr>
            </w:pPr>
            <w:r w:rsidRPr="004B2796">
              <w:rPr>
                <w:b/>
                <w:bCs/>
                <w:sz w:val="22"/>
                <w:szCs w:val="22"/>
              </w:rPr>
              <w:t>%</w:t>
            </w:r>
          </w:p>
        </w:tc>
        <w:tc>
          <w:tcPr>
            <w:tcW w:w="810" w:type="dxa"/>
            <w:tcBorders>
              <w:top w:val="double" w:sz="6" w:space="0" w:color="auto"/>
              <w:left w:val="nil"/>
              <w:bottom w:val="double" w:sz="4" w:space="0" w:color="auto"/>
              <w:right w:val="double" w:sz="6" w:space="0" w:color="auto"/>
            </w:tcBorders>
            <w:shd w:val="clear" w:color="auto" w:fill="auto"/>
            <w:noWrap/>
            <w:vAlign w:val="center"/>
            <w:hideMark/>
          </w:tcPr>
          <w:p w14:paraId="14202D7E" w14:textId="77777777" w:rsidR="00E465D0" w:rsidRPr="004B2796" w:rsidRDefault="00E465D0" w:rsidP="00302827">
            <w:pPr>
              <w:spacing w:after="0"/>
              <w:jc w:val="center"/>
              <w:rPr>
                <w:b/>
                <w:bCs/>
                <w:sz w:val="22"/>
                <w:szCs w:val="22"/>
              </w:rPr>
            </w:pPr>
            <w:r w:rsidRPr="004B2796">
              <w:rPr>
                <w:b/>
                <w:bCs/>
                <w:sz w:val="22"/>
                <w:szCs w:val="22"/>
              </w:rPr>
              <w:t>MN%</w:t>
            </w:r>
          </w:p>
        </w:tc>
        <w:tc>
          <w:tcPr>
            <w:tcW w:w="5051" w:type="dxa"/>
            <w:tcBorders>
              <w:top w:val="double" w:sz="6" w:space="0" w:color="auto"/>
              <w:left w:val="nil"/>
              <w:bottom w:val="double" w:sz="6" w:space="0" w:color="auto"/>
              <w:right w:val="nil"/>
            </w:tcBorders>
            <w:shd w:val="clear" w:color="auto" w:fill="auto"/>
            <w:noWrap/>
            <w:vAlign w:val="center"/>
            <w:hideMark/>
          </w:tcPr>
          <w:p w14:paraId="317DF91D" w14:textId="77777777" w:rsidR="00E465D0" w:rsidRPr="004B2796" w:rsidRDefault="00E465D0" w:rsidP="00302827">
            <w:pPr>
              <w:spacing w:after="0"/>
              <w:rPr>
                <w:b/>
                <w:bCs/>
                <w:sz w:val="22"/>
                <w:szCs w:val="22"/>
              </w:rPr>
            </w:pPr>
            <w:r w:rsidRPr="004B2796">
              <w:rPr>
                <w:b/>
                <w:bCs/>
                <w:sz w:val="22"/>
                <w:szCs w:val="22"/>
              </w:rPr>
              <w:t xml:space="preserve"> Variable</w:t>
            </w:r>
          </w:p>
        </w:tc>
        <w:tc>
          <w:tcPr>
            <w:tcW w:w="803" w:type="dxa"/>
            <w:tcBorders>
              <w:top w:val="double" w:sz="6" w:space="0" w:color="auto"/>
              <w:left w:val="nil"/>
              <w:bottom w:val="double" w:sz="6" w:space="0" w:color="auto"/>
              <w:right w:val="nil"/>
            </w:tcBorders>
            <w:shd w:val="clear" w:color="auto" w:fill="auto"/>
            <w:noWrap/>
            <w:vAlign w:val="center"/>
            <w:hideMark/>
          </w:tcPr>
          <w:p w14:paraId="48CAAC2B" w14:textId="77777777" w:rsidR="00E465D0" w:rsidRPr="004B2796" w:rsidRDefault="00E465D0" w:rsidP="004B2796">
            <w:pPr>
              <w:spacing w:after="0"/>
              <w:jc w:val="center"/>
              <w:rPr>
                <w:b/>
                <w:bCs/>
                <w:sz w:val="22"/>
                <w:szCs w:val="22"/>
              </w:rPr>
            </w:pPr>
            <w:r w:rsidRPr="004B2796">
              <w:rPr>
                <w:b/>
                <w:bCs/>
                <w:sz w:val="22"/>
                <w:szCs w:val="22"/>
              </w:rPr>
              <w:t>Count</w:t>
            </w:r>
          </w:p>
        </w:tc>
        <w:tc>
          <w:tcPr>
            <w:tcW w:w="806" w:type="dxa"/>
            <w:tcBorders>
              <w:top w:val="double" w:sz="6" w:space="0" w:color="auto"/>
              <w:left w:val="nil"/>
              <w:bottom w:val="double" w:sz="6" w:space="0" w:color="auto"/>
              <w:right w:val="nil"/>
            </w:tcBorders>
            <w:vAlign w:val="center"/>
          </w:tcPr>
          <w:p w14:paraId="223BD746" w14:textId="77777777" w:rsidR="00E465D0" w:rsidRPr="004B2796" w:rsidRDefault="00E465D0" w:rsidP="004B2796">
            <w:pPr>
              <w:spacing w:after="0"/>
              <w:jc w:val="center"/>
              <w:rPr>
                <w:b/>
                <w:bCs/>
                <w:sz w:val="22"/>
                <w:szCs w:val="22"/>
              </w:rPr>
            </w:pPr>
            <w:r w:rsidRPr="004B2796">
              <w:rPr>
                <w:b/>
                <w:bCs/>
                <w:sz w:val="22"/>
                <w:szCs w:val="22"/>
              </w:rPr>
              <w:t>%</w:t>
            </w:r>
          </w:p>
        </w:tc>
        <w:tc>
          <w:tcPr>
            <w:tcW w:w="810" w:type="dxa"/>
            <w:tcBorders>
              <w:top w:val="double" w:sz="6" w:space="0" w:color="auto"/>
              <w:left w:val="nil"/>
              <w:bottom w:val="double" w:sz="6" w:space="0" w:color="auto"/>
              <w:right w:val="double" w:sz="6" w:space="0" w:color="auto"/>
            </w:tcBorders>
            <w:shd w:val="clear" w:color="auto" w:fill="auto"/>
            <w:noWrap/>
            <w:vAlign w:val="center"/>
            <w:hideMark/>
          </w:tcPr>
          <w:p w14:paraId="6CBE5040" w14:textId="77777777" w:rsidR="00E465D0" w:rsidRPr="004B2796" w:rsidRDefault="00E465D0" w:rsidP="004B2796">
            <w:pPr>
              <w:spacing w:after="0"/>
              <w:jc w:val="center"/>
              <w:rPr>
                <w:b/>
                <w:bCs/>
                <w:sz w:val="22"/>
                <w:szCs w:val="22"/>
              </w:rPr>
            </w:pPr>
            <w:r w:rsidRPr="004B2796">
              <w:rPr>
                <w:b/>
                <w:bCs/>
                <w:sz w:val="22"/>
                <w:szCs w:val="22"/>
              </w:rPr>
              <w:t>MN%</w:t>
            </w:r>
          </w:p>
        </w:tc>
      </w:tr>
      <w:tr w:rsidR="00E465D0" w:rsidRPr="004B2796" w14:paraId="29AB6A82" w14:textId="77777777" w:rsidTr="00AB236A">
        <w:trPr>
          <w:gridAfter w:val="1"/>
          <w:wAfter w:w="1181" w:type="dxa"/>
          <w:trHeight w:val="274"/>
        </w:trPr>
        <w:tc>
          <w:tcPr>
            <w:tcW w:w="5756" w:type="dxa"/>
            <w:gridSpan w:val="4"/>
            <w:tcBorders>
              <w:top w:val="double" w:sz="4" w:space="0" w:color="auto"/>
              <w:left w:val="double" w:sz="6" w:space="0" w:color="auto"/>
              <w:bottom w:val="nil"/>
              <w:right w:val="double" w:sz="6" w:space="0" w:color="auto"/>
            </w:tcBorders>
            <w:vAlign w:val="center"/>
          </w:tcPr>
          <w:p w14:paraId="5B546BB0" w14:textId="77777777" w:rsidR="00E465D0" w:rsidRPr="004B2796" w:rsidRDefault="00E465D0" w:rsidP="00AB236A">
            <w:pPr>
              <w:spacing w:after="0"/>
              <w:jc w:val="left"/>
              <w:rPr>
                <w:b/>
                <w:bCs/>
                <w:i/>
                <w:iCs/>
                <w:sz w:val="22"/>
                <w:szCs w:val="22"/>
              </w:rPr>
            </w:pPr>
            <w:r w:rsidRPr="004B2796">
              <w:rPr>
                <w:b/>
                <w:bCs/>
                <w:i/>
                <w:iCs/>
                <w:sz w:val="22"/>
                <w:szCs w:val="22"/>
              </w:rPr>
              <w:t>Individual Demographics</w:t>
            </w:r>
          </w:p>
        </w:tc>
        <w:tc>
          <w:tcPr>
            <w:tcW w:w="7470" w:type="dxa"/>
            <w:gridSpan w:val="4"/>
            <w:tcBorders>
              <w:top w:val="double" w:sz="4" w:space="0" w:color="auto"/>
              <w:left w:val="double" w:sz="6" w:space="0" w:color="auto"/>
              <w:bottom w:val="nil"/>
              <w:right w:val="double" w:sz="6" w:space="0" w:color="000000"/>
            </w:tcBorders>
            <w:vAlign w:val="center"/>
          </w:tcPr>
          <w:p w14:paraId="50B422E4" w14:textId="77777777" w:rsidR="00E465D0" w:rsidRPr="004B2796" w:rsidRDefault="00E465D0" w:rsidP="00AB236A">
            <w:pPr>
              <w:spacing w:after="0"/>
              <w:jc w:val="left"/>
              <w:rPr>
                <w:b/>
                <w:bCs/>
                <w:i/>
                <w:iCs/>
                <w:sz w:val="22"/>
                <w:szCs w:val="22"/>
              </w:rPr>
            </w:pPr>
            <w:r w:rsidRPr="004B2796">
              <w:rPr>
                <w:b/>
                <w:bCs/>
                <w:i/>
                <w:iCs/>
                <w:sz w:val="22"/>
                <w:szCs w:val="22"/>
              </w:rPr>
              <w:t>Household Demographics</w:t>
            </w:r>
          </w:p>
        </w:tc>
      </w:tr>
      <w:tr w:rsidR="00E465D0" w:rsidRPr="004B2796" w14:paraId="641FCF59"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3021C35C" w14:textId="77777777" w:rsidR="00E465D0" w:rsidRPr="004B2796" w:rsidRDefault="00E465D0" w:rsidP="00AB236A">
            <w:pPr>
              <w:spacing w:after="0"/>
              <w:jc w:val="left"/>
              <w:rPr>
                <w:b/>
                <w:bCs/>
                <w:sz w:val="22"/>
                <w:szCs w:val="22"/>
              </w:rPr>
            </w:pPr>
            <w:r w:rsidRPr="004B2796">
              <w:rPr>
                <w:b/>
                <w:bCs/>
                <w:sz w:val="22"/>
                <w:szCs w:val="22"/>
              </w:rPr>
              <w:t xml:space="preserve"> Gender</w:t>
            </w:r>
          </w:p>
        </w:tc>
        <w:tc>
          <w:tcPr>
            <w:tcW w:w="900" w:type="dxa"/>
            <w:tcBorders>
              <w:top w:val="nil"/>
              <w:left w:val="nil"/>
              <w:bottom w:val="nil"/>
              <w:right w:val="nil"/>
            </w:tcBorders>
            <w:shd w:val="clear" w:color="auto" w:fill="auto"/>
            <w:noWrap/>
            <w:vAlign w:val="center"/>
            <w:hideMark/>
          </w:tcPr>
          <w:p w14:paraId="1A507ADD" w14:textId="77777777" w:rsidR="00E465D0" w:rsidRPr="004B2796" w:rsidRDefault="00E465D0" w:rsidP="00302827">
            <w:pPr>
              <w:spacing w:after="0"/>
              <w:rPr>
                <w:sz w:val="22"/>
                <w:szCs w:val="22"/>
              </w:rPr>
            </w:pPr>
          </w:p>
        </w:tc>
        <w:tc>
          <w:tcPr>
            <w:tcW w:w="809" w:type="dxa"/>
            <w:tcBorders>
              <w:top w:val="nil"/>
              <w:left w:val="nil"/>
              <w:bottom w:val="nil"/>
              <w:right w:val="nil"/>
            </w:tcBorders>
          </w:tcPr>
          <w:p w14:paraId="1C862CFB" w14:textId="77777777" w:rsidR="00E465D0" w:rsidRPr="004B2796" w:rsidRDefault="00E465D0" w:rsidP="00302827">
            <w:pPr>
              <w:spacing w:after="0"/>
              <w:rPr>
                <w:sz w:val="22"/>
                <w:szCs w:val="22"/>
              </w:rPr>
            </w:pPr>
          </w:p>
        </w:tc>
        <w:tc>
          <w:tcPr>
            <w:tcW w:w="810" w:type="dxa"/>
            <w:tcBorders>
              <w:top w:val="nil"/>
              <w:left w:val="nil"/>
              <w:bottom w:val="nil"/>
              <w:right w:val="double" w:sz="6" w:space="0" w:color="auto"/>
            </w:tcBorders>
            <w:shd w:val="clear" w:color="auto" w:fill="auto"/>
            <w:noWrap/>
            <w:vAlign w:val="center"/>
            <w:hideMark/>
          </w:tcPr>
          <w:p w14:paraId="6278519A" w14:textId="77777777" w:rsidR="00E465D0" w:rsidRPr="004B2796" w:rsidRDefault="00E465D0" w:rsidP="00302827">
            <w:pPr>
              <w:spacing w:after="0"/>
              <w:rPr>
                <w:sz w:val="22"/>
                <w:szCs w:val="22"/>
              </w:rPr>
            </w:pPr>
            <w:r w:rsidRPr="004B2796">
              <w:rPr>
                <w:sz w:val="22"/>
                <w:szCs w:val="22"/>
              </w:rPr>
              <w:t> </w:t>
            </w:r>
          </w:p>
        </w:tc>
        <w:tc>
          <w:tcPr>
            <w:tcW w:w="7470" w:type="dxa"/>
            <w:gridSpan w:val="4"/>
            <w:tcBorders>
              <w:top w:val="nil"/>
              <w:left w:val="nil"/>
              <w:bottom w:val="nil"/>
              <w:right w:val="double" w:sz="6" w:space="0" w:color="000000"/>
            </w:tcBorders>
            <w:vAlign w:val="center"/>
          </w:tcPr>
          <w:p w14:paraId="3CDF7888" w14:textId="77777777" w:rsidR="00E465D0" w:rsidRPr="004B2796" w:rsidRDefault="00E465D0" w:rsidP="00AB236A">
            <w:pPr>
              <w:spacing w:after="0"/>
              <w:jc w:val="left"/>
              <w:rPr>
                <w:b/>
                <w:bCs/>
                <w:sz w:val="22"/>
                <w:szCs w:val="22"/>
              </w:rPr>
            </w:pPr>
            <w:r w:rsidRPr="004B2796">
              <w:rPr>
                <w:b/>
                <w:bCs/>
                <w:sz w:val="22"/>
                <w:szCs w:val="22"/>
              </w:rPr>
              <w:t xml:space="preserve"> Presence of Children (including ages)</w:t>
            </w:r>
          </w:p>
        </w:tc>
      </w:tr>
      <w:tr w:rsidR="00E465D0" w:rsidRPr="004B2796" w14:paraId="386559B8"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33627049" w14:textId="77777777" w:rsidR="00E465D0" w:rsidRPr="004B2796" w:rsidRDefault="00E465D0" w:rsidP="00AB236A">
            <w:pPr>
              <w:spacing w:after="0"/>
              <w:jc w:val="left"/>
              <w:rPr>
                <w:sz w:val="22"/>
                <w:szCs w:val="22"/>
              </w:rPr>
            </w:pPr>
            <w:r w:rsidRPr="004B2796">
              <w:rPr>
                <w:sz w:val="22"/>
                <w:szCs w:val="22"/>
              </w:rPr>
              <w:t xml:space="preserve"> Female</w:t>
            </w:r>
          </w:p>
        </w:tc>
        <w:tc>
          <w:tcPr>
            <w:tcW w:w="900" w:type="dxa"/>
            <w:tcBorders>
              <w:top w:val="nil"/>
              <w:left w:val="nil"/>
              <w:bottom w:val="nil"/>
              <w:right w:val="nil"/>
            </w:tcBorders>
            <w:shd w:val="clear" w:color="auto" w:fill="auto"/>
            <w:noWrap/>
            <w:vAlign w:val="center"/>
            <w:hideMark/>
          </w:tcPr>
          <w:p w14:paraId="627A6A06" w14:textId="77777777" w:rsidR="00E465D0" w:rsidRPr="004B2796" w:rsidRDefault="00E465D0" w:rsidP="00AB236A">
            <w:pPr>
              <w:spacing w:after="0"/>
              <w:jc w:val="right"/>
              <w:rPr>
                <w:rFonts w:eastAsia="Times New Roman"/>
                <w:sz w:val="22"/>
                <w:szCs w:val="22"/>
              </w:rPr>
            </w:pPr>
            <w:r w:rsidRPr="004B2796">
              <w:rPr>
                <w:rFonts w:eastAsia="Times New Roman"/>
                <w:sz w:val="22"/>
                <w:szCs w:val="22"/>
              </w:rPr>
              <w:t>935</w:t>
            </w:r>
          </w:p>
        </w:tc>
        <w:tc>
          <w:tcPr>
            <w:tcW w:w="809" w:type="dxa"/>
            <w:tcBorders>
              <w:top w:val="nil"/>
              <w:left w:val="nil"/>
              <w:bottom w:val="nil"/>
              <w:right w:val="nil"/>
            </w:tcBorders>
            <w:vAlign w:val="center"/>
          </w:tcPr>
          <w:p w14:paraId="0D42494A" w14:textId="77777777" w:rsidR="00E465D0" w:rsidRPr="004B2796" w:rsidRDefault="00E465D0" w:rsidP="00AB236A">
            <w:pPr>
              <w:spacing w:after="0"/>
              <w:jc w:val="right"/>
              <w:rPr>
                <w:rFonts w:eastAsia="Times New Roman"/>
                <w:sz w:val="22"/>
                <w:szCs w:val="22"/>
              </w:rPr>
            </w:pPr>
            <w:r w:rsidRPr="004B2796">
              <w:rPr>
                <w:color w:val="000000"/>
                <w:sz w:val="22"/>
                <w:szCs w:val="22"/>
              </w:rPr>
              <w:t>48.7</w:t>
            </w:r>
          </w:p>
        </w:tc>
        <w:tc>
          <w:tcPr>
            <w:tcW w:w="810" w:type="dxa"/>
            <w:tcBorders>
              <w:top w:val="nil"/>
              <w:left w:val="nil"/>
              <w:bottom w:val="nil"/>
              <w:right w:val="double" w:sz="6" w:space="0" w:color="auto"/>
            </w:tcBorders>
            <w:shd w:val="clear" w:color="auto" w:fill="auto"/>
            <w:noWrap/>
            <w:vAlign w:val="center"/>
          </w:tcPr>
          <w:p w14:paraId="43025EF2" w14:textId="77777777" w:rsidR="00E465D0" w:rsidRPr="004B2796" w:rsidRDefault="00E465D0" w:rsidP="00AB236A">
            <w:pPr>
              <w:spacing w:after="0"/>
              <w:jc w:val="right"/>
              <w:rPr>
                <w:sz w:val="22"/>
                <w:szCs w:val="22"/>
              </w:rPr>
            </w:pPr>
            <w:r w:rsidRPr="004B2796">
              <w:rPr>
                <w:sz w:val="22"/>
                <w:szCs w:val="22"/>
              </w:rPr>
              <w:t>43.6</w:t>
            </w:r>
          </w:p>
        </w:tc>
        <w:tc>
          <w:tcPr>
            <w:tcW w:w="5051" w:type="dxa"/>
            <w:tcBorders>
              <w:top w:val="nil"/>
              <w:left w:val="nil"/>
              <w:bottom w:val="nil"/>
              <w:right w:val="nil"/>
            </w:tcBorders>
            <w:shd w:val="clear" w:color="auto" w:fill="auto"/>
            <w:noWrap/>
            <w:vAlign w:val="center"/>
            <w:hideMark/>
          </w:tcPr>
          <w:p w14:paraId="4D013332" w14:textId="77777777" w:rsidR="00E465D0" w:rsidRPr="004B2796" w:rsidRDefault="00E465D0" w:rsidP="00AB236A">
            <w:pPr>
              <w:spacing w:after="0"/>
              <w:jc w:val="left"/>
              <w:rPr>
                <w:sz w:val="22"/>
                <w:szCs w:val="22"/>
              </w:rPr>
            </w:pPr>
            <w:r w:rsidRPr="004B2796">
              <w:rPr>
                <w:sz w:val="22"/>
                <w:szCs w:val="22"/>
              </w:rPr>
              <w:t xml:space="preserve"> No children</w:t>
            </w:r>
          </w:p>
        </w:tc>
        <w:tc>
          <w:tcPr>
            <w:tcW w:w="803" w:type="dxa"/>
            <w:tcBorders>
              <w:top w:val="nil"/>
              <w:left w:val="nil"/>
              <w:bottom w:val="nil"/>
              <w:right w:val="nil"/>
            </w:tcBorders>
            <w:shd w:val="clear" w:color="auto" w:fill="auto"/>
            <w:noWrap/>
            <w:vAlign w:val="center"/>
            <w:hideMark/>
          </w:tcPr>
          <w:p w14:paraId="4215D15E" w14:textId="77777777" w:rsidR="00E465D0" w:rsidRPr="004B2796" w:rsidRDefault="00E465D0" w:rsidP="00302827">
            <w:pPr>
              <w:spacing w:after="0"/>
              <w:jc w:val="right"/>
              <w:rPr>
                <w:sz w:val="22"/>
                <w:szCs w:val="22"/>
              </w:rPr>
            </w:pPr>
            <w:r w:rsidRPr="004B2796">
              <w:rPr>
                <w:sz w:val="22"/>
                <w:szCs w:val="22"/>
              </w:rPr>
              <w:t>1407</w:t>
            </w:r>
          </w:p>
        </w:tc>
        <w:tc>
          <w:tcPr>
            <w:tcW w:w="806" w:type="dxa"/>
            <w:tcBorders>
              <w:top w:val="nil"/>
              <w:left w:val="nil"/>
              <w:bottom w:val="nil"/>
              <w:right w:val="nil"/>
            </w:tcBorders>
            <w:vAlign w:val="center"/>
          </w:tcPr>
          <w:p w14:paraId="5A0DD292" w14:textId="77777777" w:rsidR="00E465D0" w:rsidRPr="004B2796" w:rsidRDefault="00E465D0" w:rsidP="00302827">
            <w:pPr>
              <w:spacing w:after="0"/>
              <w:jc w:val="right"/>
              <w:rPr>
                <w:sz w:val="22"/>
                <w:szCs w:val="22"/>
              </w:rPr>
            </w:pPr>
            <w:r w:rsidRPr="004B2796">
              <w:rPr>
                <w:sz w:val="22"/>
                <w:szCs w:val="22"/>
              </w:rPr>
              <w:t>73.3</w:t>
            </w:r>
          </w:p>
        </w:tc>
        <w:tc>
          <w:tcPr>
            <w:tcW w:w="810" w:type="dxa"/>
            <w:tcBorders>
              <w:top w:val="nil"/>
              <w:left w:val="nil"/>
              <w:bottom w:val="nil"/>
              <w:right w:val="double" w:sz="6" w:space="0" w:color="auto"/>
            </w:tcBorders>
            <w:shd w:val="clear" w:color="auto" w:fill="auto"/>
            <w:noWrap/>
            <w:vAlign w:val="center"/>
          </w:tcPr>
          <w:p w14:paraId="5F54198F" w14:textId="77777777" w:rsidR="00E465D0" w:rsidRPr="004B2796" w:rsidRDefault="00E465D0" w:rsidP="00302827">
            <w:pPr>
              <w:spacing w:after="0"/>
              <w:jc w:val="right"/>
              <w:rPr>
                <w:sz w:val="22"/>
                <w:szCs w:val="22"/>
              </w:rPr>
            </w:pPr>
            <w:r w:rsidRPr="004B2796">
              <w:rPr>
                <w:sz w:val="22"/>
                <w:szCs w:val="22"/>
              </w:rPr>
              <w:t>--</w:t>
            </w:r>
          </w:p>
        </w:tc>
      </w:tr>
      <w:tr w:rsidR="00E465D0" w:rsidRPr="004B2796" w14:paraId="7F1516CB"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232FA85C" w14:textId="77777777" w:rsidR="00E465D0" w:rsidRPr="004B2796" w:rsidRDefault="00E465D0" w:rsidP="00AB236A">
            <w:pPr>
              <w:spacing w:after="0"/>
              <w:jc w:val="left"/>
              <w:rPr>
                <w:sz w:val="22"/>
                <w:szCs w:val="22"/>
              </w:rPr>
            </w:pPr>
            <w:r w:rsidRPr="004B2796">
              <w:rPr>
                <w:sz w:val="22"/>
                <w:szCs w:val="22"/>
              </w:rPr>
              <w:t xml:space="preserve"> Male</w:t>
            </w:r>
          </w:p>
        </w:tc>
        <w:tc>
          <w:tcPr>
            <w:tcW w:w="900" w:type="dxa"/>
            <w:tcBorders>
              <w:top w:val="nil"/>
              <w:left w:val="nil"/>
              <w:bottom w:val="nil"/>
              <w:right w:val="nil"/>
            </w:tcBorders>
            <w:shd w:val="clear" w:color="auto" w:fill="auto"/>
            <w:noWrap/>
            <w:vAlign w:val="center"/>
            <w:hideMark/>
          </w:tcPr>
          <w:p w14:paraId="765A93F5" w14:textId="77777777" w:rsidR="00E465D0" w:rsidRPr="004B2796" w:rsidRDefault="00E465D0" w:rsidP="00AB236A">
            <w:pPr>
              <w:spacing w:after="0"/>
              <w:jc w:val="right"/>
              <w:rPr>
                <w:rFonts w:eastAsia="Times New Roman"/>
                <w:sz w:val="22"/>
                <w:szCs w:val="22"/>
              </w:rPr>
            </w:pPr>
            <w:r w:rsidRPr="004B2796">
              <w:rPr>
                <w:rFonts w:eastAsia="Times New Roman"/>
                <w:sz w:val="22"/>
                <w:szCs w:val="22"/>
              </w:rPr>
              <w:t>920</w:t>
            </w:r>
          </w:p>
        </w:tc>
        <w:tc>
          <w:tcPr>
            <w:tcW w:w="809" w:type="dxa"/>
            <w:tcBorders>
              <w:top w:val="nil"/>
              <w:left w:val="nil"/>
              <w:bottom w:val="nil"/>
              <w:right w:val="nil"/>
            </w:tcBorders>
            <w:vAlign w:val="center"/>
          </w:tcPr>
          <w:p w14:paraId="0BEB033C" w14:textId="77777777" w:rsidR="00E465D0" w:rsidRPr="004B2796" w:rsidRDefault="00E465D0" w:rsidP="00AB236A">
            <w:pPr>
              <w:spacing w:after="0"/>
              <w:jc w:val="right"/>
              <w:rPr>
                <w:rFonts w:eastAsia="Times New Roman"/>
                <w:sz w:val="22"/>
                <w:szCs w:val="22"/>
              </w:rPr>
            </w:pPr>
            <w:r w:rsidRPr="004B2796">
              <w:rPr>
                <w:color w:val="000000"/>
                <w:sz w:val="22"/>
                <w:szCs w:val="22"/>
              </w:rPr>
              <w:t>47.9</w:t>
            </w:r>
          </w:p>
        </w:tc>
        <w:tc>
          <w:tcPr>
            <w:tcW w:w="810" w:type="dxa"/>
            <w:tcBorders>
              <w:top w:val="nil"/>
              <w:left w:val="nil"/>
              <w:bottom w:val="nil"/>
              <w:right w:val="double" w:sz="6" w:space="0" w:color="auto"/>
            </w:tcBorders>
            <w:shd w:val="clear" w:color="auto" w:fill="auto"/>
            <w:noWrap/>
            <w:vAlign w:val="center"/>
          </w:tcPr>
          <w:p w14:paraId="51E7D78F" w14:textId="77777777" w:rsidR="00E465D0" w:rsidRPr="004B2796" w:rsidRDefault="00E465D0" w:rsidP="00AB236A">
            <w:pPr>
              <w:spacing w:after="0"/>
              <w:jc w:val="right"/>
              <w:rPr>
                <w:sz w:val="22"/>
                <w:szCs w:val="22"/>
              </w:rPr>
            </w:pPr>
            <w:r w:rsidRPr="004B2796">
              <w:rPr>
                <w:sz w:val="22"/>
                <w:szCs w:val="22"/>
              </w:rPr>
              <w:t>56.4</w:t>
            </w:r>
          </w:p>
        </w:tc>
        <w:tc>
          <w:tcPr>
            <w:tcW w:w="5051" w:type="dxa"/>
            <w:tcBorders>
              <w:top w:val="nil"/>
              <w:left w:val="nil"/>
              <w:bottom w:val="nil"/>
              <w:right w:val="nil"/>
            </w:tcBorders>
            <w:shd w:val="clear" w:color="auto" w:fill="auto"/>
            <w:noWrap/>
            <w:vAlign w:val="center"/>
            <w:hideMark/>
          </w:tcPr>
          <w:p w14:paraId="46455CB8" w14:textId="77777777" w:rsidR="00E465D0" w:rsidRPr="004B2796" w:rsidRDefault="00E465D0" w:rsidP="00AB236A">
            <w:pPr>
              <w:spacing w:after="0"/>
              <w:jc w:val="left"/>
              <w:rPr>
                <w:b/>
                <w:bCs/>
                <w:sz w:val="22"/>
                <w:szCs w:val="22"/>
              </w:rPr>
            </w:pPr>
            <w:r w:rsidRPr="004B2796">
              <w:rPr>
                <w:sz w:val="22"/>
                <w:szCs w:val="22"/>
              </w:rPr>
              <w:t xml:space="preserve"> One child</w:t>
            </w:r>
          </w:p>
        </w:tc>
        <w:tc>
          <w:tcPr>
            <w:tcW w:w="803" w:type="dxa"/>
            <w:tcBorders>
              <w:top w:val="nil"/>
              <w:left w:val="nil"/>
              <w:bottom w:val="nil"/>
              <w:right w:val="nil"/>
            </w:tcBorders>
            <w:shd w:val="clear" w:color="auto" w:fill="auto"/>
            <w:noWrap/>
            <w:vAlign w:val="center"/>
            <w:hideMark/>
          </w:tcPr>
          <w:p w14:paraId="6E02DB87" w14:textId="77777777" w:rsidR="00E465D0" w:rsidRPr="004B2796" w:rsidRDefault="00E465D0" w:rsidP="00302827">
            <w:pPr>
              <w:spacing w:after="0"/>
              <w:jc w:val="right"/>
              <w:rPr>
                <w:sz w:val="22"/>
                <w:szCs w:val="22"/>
              </w:rPr>
            </w:pPr>
            <w:r w:rsidRPr="004B2796">
              <w:rPr>
                <w:sz w:val="22"/>
                <w:szCs w:val="22"/>
              </w:rPr>
              <w:t>215</w:t>
            </w:r>
          </w:p>
        </w:tc>
        <w:tc>
          <w:tcPr>
            <w:tcW w:w="806" w:type="dxa"/>
            <w:tcBorders>
              <w:top w:val="nil"/>
              <w:left w:val="nil"/>
              <w:bottom w:val="nil"/>
              <w:right w:val="nil"/>
            </w:tcBorders>
            <w:vAlign w:val="center"/>
          </w:tcPr>
          <w:p w14:paraId="7EACBE54" w14:textId="77777777" w:rsidR="00E465D0" w:rsidRPr="004B2796" w:rsidRDefault="00E465D0" w:rsidP="00302827">
            <w:pPr>
              <w:spacing w:after="0"/>
              <w:jc w:val="right"/>
              <w:rPr>
                <w:sz w:val="22"/>
                <w:szCs w:val="22"/>
              </w:rPr>
            </w:pPr>
            <w:r w:rsidRPr="004B2796">
              <w:rPr>
                <w:sz w:val="22"/>
                <w:szCs w:val="22"/>
              </w:rPr>
              <w:t>11.2</w:t>
            </w:r>
          </w:p>
        </w:tc>
        <w:tc>
          <w:tcPr>
            <w:tcW w:w="810" w:type="dxa"/>
            <w:tcBorders>
              <w:top w:val="nil"/>
              <w:left w:val="nil"/>
              <w:bottom w:val="nil"/>
              <w:right w:val="double" w:sz="6" w:space="0" w:color="auto"/>
            </w:tcBorders>
            <w:shd w:val="clear" w:color="auto" w:fill="auto"/>
            <w:noWrap/>
            <w:vAlign w:val="center"/>
          </w:tcPr>
          <w:p w14:paraId="440E991F" w14:textId="77777777" w:rsidR="00E465D0" w:rsidRPr="004B2796" w:rsidRDefault="00E465D0" w:rsidP="00302827">
            <w:pPr>
              <w:spacing w:after="0"/>
              <w:jc w:val="right"/>
              <w:rPr>
                <w:sz w:val="22"/>
                <w:szCs w:val="22"/>
              </w:rPr>
            </w:pPr>
            <w:r w:rsidRPr="004B2796">
              <w:rPr>
                <w:sz w:val="22"/>
                <w:szCs w:val="22"/>
              </w:rPr>
              <w:t>--</w:t>
            </w:r>
          </w:p>
        </w:tc>
      </w:tr>
      <w:tr w:rsidR="00E465D0" w:rsidRPr="004B2796" w14:paraId="09451A3A"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67187676" w14:textId="77777777" w:rsidR="00E465D0" w:rsidRPr="004B2796" w:rsidRDefault="00E465D0" w:rsidP="00AB236A">
            <w:pPr>
              <w:spacing w:after="0"/>
              <w:jc w:val="left"/>
              <w:rPr>
                <w:sz w:val="22"/>
                <w:szCs w:val="22"/>
              </w:rPr>
            </w:pPr>
            <w:r w:rsidRPr="004B2796">
              <w:rPr>
                <w:sz w:val="22"/>
                <w:szCs w:val="22"/>
              </w:rPr>
              <w:t xml:space="preserve"> Non-Binary</w:t>
            </w:r>
          </w:p>
        </w:tc>
        <w:tc>
          <w:tcPr>
            <w:tcW w:w="900" w:type="dxa"/>
            <w:tcBorders>
              <w:top w:val="nil"/>
              <w:left w:val="nil"/>
              <w:bottom w:val="nil"/>
              <w:right w:val="nil"/>
            </w:tcBorders>
            <w:shd w:val="clear" w:color="auto" w:fill="auto"/>
            <w:noWrap/>
            <w:vAlign w:val="center"/>
          </w:tcPr>
          <w:p w14:paraId="30856B81" w14:textId="77777777" w:rsidR="00E465D0" w:rsidRPr="004B2796" w:rsidRDefault="00E465D0" w:rsidP="00AB236A">
            <w:pPr>
              <w:spacing w:after="0"/>
              <w:jc w:val="right"/>
              <w:rPr>
                <w:rFonts w:eastAsia="Times New Roman"/>
                <w:sz w:val="22"/>
                <w:szCs w:val="22"/>
              </w:rPr>
            </w:pPr>
            <w:r w:rsidRPr="004B2796">
              <w:rPr>
                <w:color w:val="000000"/>
                <w:sz w:val="22"/>
                <w:szCs w:val="22"/>
              </w:rPr>
              <w:t>65</w:t>
            </w:r>
          </w:p>
        </w:tc>
        <w:tc>
          <w:tcPr>
            <w:tcW w:w="809" w:type="dxa"/>
            <w:tcBorders>
              <w:top w:val="nil"/>
              <w:left w:val="nil"/>
              <w:bottom w:val="nil"/>
              <w:right w:val="nil"/>
            </w:tcBorders>
            <w:vAlign w:val="center"/>
          </w:tcPr>
          <w:p w14:paraId="0979F727" w14:textId="77777777" w:rsidR="00E465D0" w:rsidRPr="004B2796" w:rsidRDefault="00E465D0" w:rsidP="00AB236A">
            <w:pPr>
              <w:spacing w:after="0"/>
              <w:jc w:val="right"/>
              <w:rPr>
                <w:rFonts w:eastAsia="Times New Roman"/>
                <w:sz w:val="22"/>
                <w:szCs w:val="22"/>
              </w:rPr>
            </w:pPr>
            <w:r w:rsidRPr="004B2796">
              <w:rPr>
                <w:color w:val="000000"/>
                <w:sz w:val="22"/>
                <w:szCs w:val="22"/>
              </w:rPr>
              <w:t>3.4</w:t>
            </w:r>
          </w:p>
        </w:tc>
        <w:tc>
          <w:tcPr>
            <w:tcW w:w="810" w:type="dxa"/>
            <w:tcBorders>
              <w:top w:val="nil"/>
              <w:left w:val="nil"/>
              <w:bottom w:val="nil"/>
              <w:right w:val="double" w:sz="6" w:space="0" w:color="auto"/>
            </w:tcBorders>
            <w:shd w:val="clear" w:color="auto" w:fill="auto"/>
            <w:noWrap/>
            <w:vAlign w:val="center"/>
          </w:tcPr>
          <w:p w14:paraId="270B4AFE" w14:textId="77777777" w:rsidR="00E465D0" w:rsidRPr="004B2796" w:rsidRDefault="00E465D0" w:rsidP="00AB236A">
            <w:pPr>
              <w:spacing w:after="0"/>
              <w:jc w:val="right"/>
              <w:rPr>
                <w:sz w:val="22"/>
                <w:szCs w:val="22"/>
              </w:rPr>
            </w:pPr>
          </w:p>
        </w:tc>
        <w:tc>
          <w:tcPr>
            <w:tcW w:w="5051" w:type="dxa"/>
            <w:tcBorders>
              <w:top w:val="nil"/>
              <w:left w:val="nil"/>
              <w:bottom w:val="nil"/>
              <w:right w:val="nil"/>
            </w:tcBorders>
            <w:shd w:val="clear" w:color="auto" w:fill="auto"/>
            <w:noWrap/>
            <w:vAlign w:val="center"/>
          </w:tcPr>
          <w:p w14:paraId="7748B21C" w14:textId="77777777" w:rsidR="00E465D0" w:rsidRPr="004B2796" w:rsidRDefault="00E465D0" w:rsidP="00AB236A">
            <w:pPr>
              <w:spacing w:after="0"/>
              <w:jc w:val="left"/>
              <w:rPr>
                <w:sz w:val="22"/>
                <w:szCs w:val="22"/>
              </w:rPr>
            </w:pPr>
            <w:r w:rsidRPr="004B2796">
              <w:rPr>
                <w:sz w:val="22"/>
                <w:szCs w:val="22"/>
              </w:rPr>
              <w:t xml:space="preserve"> Two children</w:t>
            </w:r>
          </w:p>
        </w:tc>
        <w:tc>
          <w:tcPr>
            <w:tcW w:w="803" w:type="dxa"/>
            <w:tcBorders>
              <w:top w:val="nil"/>
              <w:left w:val="nil"/>
              <w:bottom w:val="nil"/>
              <w:right w:val="nil"/>
            </w:tcBorders>
            <w:shd w:val="clear" w:color="auto" w:fill="auto"/>
            <w:noWrap/>
            <w:vAlign w:val="center"/>
          </w:tcPr>
          <w:p w14:paraId="3AE5D315" w14:textId="77777777" w:rsidR="00E465D0" w:rsidRPr="004B2796" w:rsidRDefault="00E465D0" w:rsidP="00302827">
            <w:pPr>
              <w:spacing w:after="0"/>
              <w:jc w:val="right"/>
              <w:rPr>
                <w:sz w:val="22"/>
                <w:szCs w:val="22"/>
              </w:rPr>
            </w:pPr>
            <w:r w:rsidRPr="004B2796">
              <w:rPr>
                <w:sz w:val="22"/>
                <w:szCs w:val="22"/>
              </w:rPr>
              <w:t>198</w:t>
            </w:r>
          </w:p>
        </w:tc>
        <w:tc>
          <w:tcPr>
            <w:tcW w:w="806" w:type="dxa"/>
            <w:tcBorders>
              <w:top w:val="nil"/>
              <w:left w:val="nil"/>
              <w:bottom w:val="nil"/>
              <w:right w:val="nil"/>
            </w:tcBorders>
            <w:vAlign w:val="center"/>
          </w:tcPr>
          <w:p w14:paraId="1DDFB0A9" w14:textId="77777777" w:rsidR="00E465D0" w:rsidRPr="004B2796" w:rsidRDefault="00E465D0" w:rsidP="00302827">
            <w:pPr>
              <w:spacing w:after="0"/>
              <w:jc w:val="right"/>
              <w:rPr>
                <w:sz w:val="22"/>
                <w:szCs w:val="22"/>
              </w:rPr>
            </w:pPr>
            <w:r w:rsidRPr="004B2796">
              <w:rPr>
                <w:sz w:val="22"/>
                <w:szCs w:val="22"/>
              </w:rPr>
              <w:t>10.3</w:t>
            </w:r>
          </w:p>
        </w:tc>
        <w:tc>
          <w:tcPr>
            <w:tcW w:w="810" w:type="dxa"/>
            <w:tcBorders>
              <w:top w:val="nil"/>
              <w:left w:val="nil"/>
              <w:bottom w:val="nil"/>
              <w:right w:val="double" w:sz="6" w:space="0" w:color="auto"/>
            </w:tcBorders>
            <w:shd w:val="clear" w:color="auto" w:fill="auto"/>
            <w:noWrap/>
            <w:vAlign w:val="center"/>
          </w:tcPr>
          <w:p w14:paraId="298909AE" w14:textId="77777777" w:rsidR="00E465D0" w:rsidRPr="004B2796" w:rsidRDefault="00E465D0" w:rsidP="00302827">
            <w:pPr>
              <w:spacing w:after="0"/>
              <w:jc w:val="right"/>
              <w:rPr>
                <w:sz w:val="22"/>
                <w:szCs w:val="22"/>
              </w:rPr>
            </w:pPr>
            <w:r w:rsidRPr="004B2796">
              <w:rPr>
                <w:sz w:val="22"/>
                <w:szCs w:val="22"/>
              </w:rPr>
              <w:t>--</w:t>
            </w:r>
          </w:p>
        </w:tc>
      </w:tr>
      <w:tr w:rsidR="00E465D0" w:rsidRPr="004B2796" w14:paraId="54E67DD8"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3B0BD785" w14:textId="77777777" w:rsidR="00E465D0" w:rsidRPr="004B2796" w:rsidRDefault="00E465D0" w:rsidP="00AB236A">
            <w:pPr>
              <w:spacing w:after="0"/>
              <w:jc w:val="left"/>
              <w:rPr>
                <w:b/>
                <w:bCs/>
                <w:sz w:val="22"/>
                <w:szCs w:val="22"/>
              </w:rPr>
            </w:pPr>
            <w:r w:rsidRPr="004B2796">
              <w:rPr>
                <w:sz w:val="22"/>
                <w:szCs w:val="22"/>
              </w:rPr>
              <w:t xml:space="preserve"> </w:t>
            </w:r>
            <w:r w:rsidRPr="004B2796">
              <w:rPr>
                <w:b/>
                <w:bCs/>
                <w:sz w:val="22"/>
                <w:szCs w:val="22"/>
              </w:rPr>
              <w:t>Age</w:t>
            </w:r>
          </w:p>
        </w:tc>
        <w:tc>
          <w:tcPr>
            <w:tcW w:w="900" w:type="dxa"/>
            <w:tcBorders>
              <w:top w:val="nil"/>
              <w:left w:val="nil"/>
              <w:bottom w:val="nil"/>
              <w:right w:val="nil"/>
            </w:tcBorders>
            <w:shd w:val="clear" w:color="auto" w:fill="auto"/>
            <w:noWrap/>
            <w:vAlign w:val="center"/>
            <w:hideMark/>
          </w:tcPr>
          <w:p w14:paraId="5057E8D9" w14:textId="77777777" w:rsidR="00E465D0" w:rsidRPr="004B2796" w:rsidRDefault="00E465D0" w:rsidP="00AB236A">
            <w:pPr>
              <w:spacing w:after="0"/>
              <w:jc w:val="right"/>
              <w:rPr>
                <w:sz w:val="22"/>
                <w:szCs w:val="22"/>
              </w:rPr>
            </w:pPr>
          </w:p>
        </w:tc>
        <w:tc>
          <w:tcPr>
            <w:tcW w:w="809" w:type="dxa"/>
            <w:tcBorders>
              <w:top w:val="nil"/>
              <w:left w:val="nil"/>
              <w:bottom w:val="nil"/>
              <w:right w:val="nil"/>
            </w:tcBorders>
            <w:vAlign w:val="center"/>
          </w:tcPr>
          <w:p w14:paraId="578CBD60" w14:textId="76D1C3D2" w:rsidR="00E465D0" w:rsidRPr="004B2796" w:rsidRDefault="00E465D0" w:rsidP="00AB236A">
            <w:pPr>
              <w:spacing w:after="0"/>
              <w:jc w:val="right"/>
              <w:rPr>
                <w:sz w:val="22"/>
                <w:szCs w:val="22"/>
              </w:rPr>
            </w:pPr>
          </w:p>
        </w:tc>
        <w:tc>
          <w:tcPr>
            <w:tcW w:w="810" w:type="dxa"/>
            <w:tcBorders>
              <w:top w:val="nil"/>
              <w:left w:val="nil"/>
              <w:bottom w:val="nil"/>
              <w:right w:val="double" w:sz="6" w:space="0" w:color="auto"/>
            </w:tcBorders>
            <w:shd w:val="clear" w:color="auto" w:fill="auto"/>
            <w:noWrap/>
            <w:vAlign w:val="center"/>
          </w:tcPr>
          <w:p w14:paraId="4D49DEF8" w14:textId="77777777" w:rsidR="00E465D0" w:rsidRPr="004B2796" w:rsidRDefault="00E465D0" w:rsidP="00AB236A">
            <w:pPr>
              <w:spacing w:after="0"/>
              <w:jc w:val="right"/>
              <w:rPr>
                <w:sz w:val="22"/>
                <w:szCs w:val="22"/>
              </w:rPr>
            </w:pPr>
          </w:p>
        </w:tc>
        <w:tc>
          <w:tcPr>
            <w:tcW w:w="5051" w:type="dxa"/>
            <w:tcBorders>
              <w:top w:val="nil"/>
              <w:left w:val="nil"/>
              <w:bottom w:val="nil"/>
              <w:right w:val="nil"/>
            </w:tcBorders>
            <w:shd w:val="clear" w:color="auto" w:fill="auto"/>
            <w:noWrap/>
            <w:vAlign w:val="center"/>
          </w:tcPr>
          <w:p w14:paraId="25FBBACB" w14:textId="77777777" w:rsidR="00E465D0" w:rsidRPr="004B2796" w:rsidRDefault="00E465D0" w:rsidP="00AB236A">
            <w:pPr>
              <w:spacing w:after="0"/>
              <w:jc w:val="left"/>
              <w:rPr>
                <w:sz w:val="22"/>
                <w:szCs w:val="22"/>
              </w:rPr>
            </w:pPr>
            <w:r w:rsidRPr="004B2796">
              <w:rPr>
                <w:sz w:val="22"/>
                <w:szCs w:val="22"/>
              </w:rPr>
              <w:t xml:space="preserve"> Three children</w:t>
            </w:r>
          </w:p>
        </w:tc>
        <w:tc>
          <w:tcPr>
            <w:tcW w:w="803" w:type="dxa"/>
            <w:tcBorders>
              <w:top w:val="nil"/>
              <w:left w:val="nil"/>
              <w:bottom w:val="nil"/>
              <w:right w:val="nil"/>
            </w:tcBorders>
            <w:shd w:val="clear" w:color="auto" w:fill="auto"/>
            <w:noWrap/>
            <w:vAlign w:val="center"/>
          </w:tcPr>
          <w:p w14:paraId="4539CA66" w14:textId="77777777" w:rsidR="00E465D0" w:rsidRPr="004B2796" w:rsidRDefault="00E465D0" w:rsidP="00302827">
            <w:pPr>
              <w:spacing w:after="0"/>
              <w:jc w:val="right"/>
              <w:rPr>
                <w:sz w:val="22"/>
                <w:szCs w:val="22"/>
              </w:rPr>
            </w:pPr>
            <w:r w:rsidRPr="004B2796">
              <w:rPr>
                <w:sz w:val="22"/>
                <w:szCs w:val="22"/>
              </w:rPr>
              <w:t>81</w:t>
            </w:r>
          </w:p>
        </w:tc>
        <w:tc>
          <w:tcPr>
            <w:tcW w:w="806" w:type="dxa"/>
            <w:tcBorders>
              <w:top w:val="nil"/>
              <w:left w:val="nil"/>
              <w:bottom w:val="nil"/>
              <w:right w:val="nil"/>
            </w:tcBorders>
            <w:vAlign w:val="center"/>
          </w:tcPr>
          <w:p w14:paraId="55167DED" w14:textId="77777777" w:rsidR="00E465D0" w:rsidRPr="004B2796" w:rsidRDefault="00E465D0" w:rsidP="00302827">
            <w:pPr>
              <w:spacing w:after="0"/>
              <w:jc w:val="right"/>
              <w:rPr>
                <w:sz w:val="22"/>
                <w:szCs w:val="22"/>
              </w:rPr>
            </w:pPr>
            <w:r w:rsidRPr="004B2796">
              <w:rPr>
                <w:sz w:val="22"/>
                <w:szCs w:val="22"/>
              </w:rPr>
              <w:t>4.2</w:t>
            </w:r>
          </w:p>
        </w:tc>
        <w:tc>
          <w:tcPr>
            <w:tcW w:w="810" w:type="dxa"/>
            <w:tcBorders>
              <w:top w:val="nil"/>
              <w:left w:val="nil"/>
              <w:bottom w:val="nil"/>
              <w:right w:val="double" w:sz="6" w:space="0" w:color="auto"/>
            </w:tcBorders>
            <w:shd w:val="clear" w:color="auto" w:fill="auto"/>
            <w:noWrap/>
            <w:vAlign w:val="center"/>
          </w:tcPr>
          <w:p w14:paraId="5AE9C2E4" w14:textId="77777777" w:rsidR="00E465D0" w:rsidRPr="004B2796" w:rsidRDefault="00E465D0" w:rsidP="00302827">
            <w:pPr>
              <w:spacing w:after="0"/>
              <w:jc w:val="right"/>
              <w:rPr>
                <w:sz w:val="22"/>
                <w:szCs w:val="22"/>
              </w:rPr>
            </w:pPr>
            <w:r w:rsidRPr="004B2796">
              <w:rPr>
                <w:sz w:val="22"/>
                <w:szCs w:val="22"/>
              </w:rPr>
              <w:t>--</w:t>
            </w:r>
          </w:p>
        </w:tc>
      </w:tr>
      <w:tr w:rsidR="00E465D0" w:rsidRPr="004B2796" w14:paraId="7806ECF0"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29769938" w14:textId="77777777" w:rsidR="00E465D0" w:rsidRPr="004B2796" w:rsidRDefault="00E465D0" w:rsidP="00AB236A">
            <w:pPr>
              <w:spacing w:after="0"/>
              <w:jc w:val="left"/>
              <w:rPr>
                <w:sz w:val="22"/>
                <w:szCs w:val="22"/>
              </w:rPr>
            </w:pPr>
            <w:r w:rsidRPr="004B2796">
              <w:rPr>
                <w:sz w:val="22"/>
                <w:szCs w:val="22"/>
              </w:rPr>
              <w:t xml:space="preserve"> 18 to 24</w:t>
            </w:r>
          </w:p>
        </w:tc>
        <w:tc>
          <w:tcPr>
            <w:tcW w:w="900" w:type="dxa"/>
            <w:tcBorders>
              <w:top w:val="nil"/>
              <w:left w:val="nil"/>
              <w:bottom w:val="nil"/>
              <w:right w:val="nil"/>
            </w:tcBorders>
            <w:shd w:val="clear" w:color="auto" w:fill="auto"/>
            <w:noWrap/>
            <w:vAlign w:val="center"/>
            <w:hideMark/>
          </w:tcPr>
          <w:p w14:paraId="45E0B357" w14:textId="77777777" w:rsidR="00E465D0" w:rsidRPr="004B2796" w:rsidRDefault="00E465D0" w:rsidP="00AB236A">
            <w:pPr>
              <w:spacing w:after="0"/>
              <w:jc w:val="right"/>
              <w:rPr>
                <w:rFonts w:eastAsia="Calibri"/>
                <w:sz w:val="22"/>
                <w:szCs w:val="22"/>
              </w:rPr>
            </w:pPr>
            <w:r w:rsidRPr="004B2796">
              <w:rPr>
                <w:sz w:val="22"/>
                <w:szCs w:val="22"/>
              </w:rPr>
              <w:t>115</w:t>
            </w:r>
          </w:p>
        </w:tc>
        <w:tc>
          <w:tcPr>
            <w:tcW w:w="809" w:type="dxa"/>
            <w:tcBorders>
              <w:top w:val="nil"/>
              <w:left w:val="nil"/>
              <w:bottom w:val="nil"/>
              <w:right w:val="nil"/>
            </w:tcBorders>
            <w:vAlign w:val="center"/>
          </w:tcPr>
          <w:p w14:paraId="584CDAB5" w14:textId="77777777" w:rsidR="00E465D0" w:rsidRPr="004B2796" w:rsidRDefault="00E465D0" w:rsidP="00AB236A">
            <w:pPr>
              <w:spacing w:after="0"/>
              <w:jc w:val="right"/>
              <w:rPr>
                <w:rFonts w:eastAsia="Calibri"/>
                <w:sz w:val="22"/>
                <w:szCs w:val="22"/>
              </w:rPr>
            </w:pPr>
            <w:r w:rsidRPr="004B2796">
              <w:rPr>
                <w:sz w:val="22"/>
                <w:szCs w:val="22"/>
              </w:rPr>
              <w:t>6.0</w:t>
            </w:r>
          </w:p>
        </w:tc>
        <w:tc>
          <w:tcPr>
            <w:tcW w:w="810" w:type="dxa"/>
            <w:tcBorders>
              <w:top w:val="nil"/>
              <w:left w:val="nil"/>
              <w:bottom w:val="nil"/>
              <w:right w:val="double" w:sz="6" w:space="0" w:color="auto"/>
            </w:tcBorders>
            <w:shd w:val="clear" w:color="auto" w:fill="auto"/>
            <w:noWrap/>
            <w:vAlign w:val="center"/>
          </w:tcPr>
          <w:p w14:paraId="176F443F" w14:textId="77777777" w:rsidR="00E465D0" w:rsidRPr="004B2796" w:rsidRDefault="00E465D0" w:rsidP="00AB236A">
            <w:pPr>
              <w:spacing w:after="0"/>
              <w:jc w:val="right"/>
              <w:rPr>
                <w:rFonts w:eastAsia="Calibri"/>
                <w:sz w:val="22"/>
                <w:szCs w:val="22"/>
              </w:rPr>
            </w:pPr>
            <w:r w:rsidRPr="004B2796">
              <w:rPr>
                <w:sz w:val="22"/>
                <w:szCs w:val="22"/>
              </w:rPr>
              <w:t>24.0</w:t>
            </w:r>
          </w:p>
        </w:tc>
        <w:tc>
          <w:tcPr>
            <w:tcW w:w="5051" w:type="dxa"/>
            <w:tcBorders>
              <w:top w:val="nil"/>
              <w:left w:val="nil"/>
              <w:bottom w:val="nil"/>
              <w:right w:val="nil"/>
            </w:tcBorders>
            <w:shd w:val="clear" w:color="auto" w:fill="auto"/>
            <w:noWrap/>
            <w:vAlign w:val="center"/>
          </w:tcPr>
          <w:p w14:paraId="2299ED58" w14:textId="77777777" w:rsidR="00E465D0" w:rsidRPr="004B2796" w:rsidRDefault="00E465D0" w:rsidP="00AB236A">
            <w:pPr>
              <w:spacing w:after="0"/>
              <w:jc w:val="left"/>
              <w:rPr>
                <w:b/>
                <w:bCs/>
                <w:sz w:val="22"/>
                <w:szCs w:val="22"/>
              </w:rPr>
            </w:pPr>
            <w:r w:rsidRPr="004B2796">
              <w:rPr>
                <w:sz w:val="22"/>
                <w:szCs w:val="22"/>
              </w:rPr>
              <w:t xml:space="preserve"> Four or more children</w:t>
            </w:r>
          </w:p>
        </w:tc>
        <w:tc>
          <w:tcPr>
            <w:tcW w:w="803" w:type="dxa"/>
            <w:tcBorders>
              <w:top w:val="nil"/>
              <w:left w:val="nil"/>
              <w:bottom w:val="nil"/>
              <w:right w:val="nil"/>
            </w:tcBorders>
            <w:shd w:val="clear" w:color="auto" w:fill="auto"/>
            <w:vAlign w:val="center"/>
          </w:tcPr>
          <w:p w14:paraId="06331540" w14:textId="77777777" w:rsidR="00E465D0" w:rsidRPr="004B2796" w:rsidRDefault="00E465D0" w:rsidP="00302827">
            <w:pPr>
              <w:spacing w:after="0"/>
              <w:jc w:val="right"/>
              <w:rPr>
                <w:b/>
                <w:bCs/>
                <w:sz w:val="22"/>
                <w:szCs w:val="22"/>
              </w:rPr>
            </w:pPr>
            <w:r w:rsidRPr="004B2796">
              <w:rPr>
                <w:sz w:val="22"/>
                <w:szCs w:val="22"/>
              </w:rPr>
              <w:t>19</w:t>
            </w:r>
          </w:p>
        </w:tc>
        <w:tc>
          <w:tcPr>
            <w:tcW w:w="806" w:type="dxa"/>
            <w:tcBorders>
              <w:top w:val="nil"/>
              <w:left w:val="nil"/>
              <w:bottom w:val="nil"/>
              <w:right w:val="nil"/>
            </w:tcBorders>
            <w:vAlign w:val="center"/>
          </w:tcPr>
          <w:p w14:paraId="70C2E847" w14:textId="77777777" w:rsidR="00E465D0" w:rsidRPr="004B2796" w:rsidRDefault="00E465D0" w:rsidP="00302827">
            <w:pPr>
              <w:spacing w:after="0"/>
              <w:jc w:val="right"/>
              <w:rPr>
                <w:sz w:val="22"/>
                <w:szCs w:val="22"/>
              </w:rPr>
            </w:pPr>
            <w:r w:rsidRPr="004B2796">
              <w:rPr>
                <w:sz w:val="22"/>
                <w:szCs w:val="22"/>
              </w:rPr>
              <w:t>1.0</w:t>
            </w:r>
          </w:p>
        </w:tc>
        <w:tc>
          <w:tcPr>
            <w:tcW w:w="810" w:type="dxa"/>
            <w:tcBorders>
              <w:top w:val="nil"/>
              <w:left w:val="nil"/>
              <w:bottom w:val="nil"/>
              <w:right w:val="double" w:sz="6" w:space="0" w:color="auto"/>
            </w:tcBorders>
            <w:shd w:val="clear" w:color="auto" w:fill="auto"/>
            <w:noWrap/>
            <w:vAlign w:val="center"/>
          </w:tcPr>
          <w:p w14:paraId="0055D632" w14:textId="77777777" w:rsidR="00E465D0" w:rsidRPr="004B2796" w:rsidRDefault="00E465D0" w:rsidP="00302827">
            <w:pPr>
              <w:spacing w:after="0"/>
              <w:jc w:val="right"/>
              <w:rPr>
                <w:sz w:val="22"/>
                <w:szCs w:val="22"/>
              </w:rPr>
            </w:pPr>
            <w:r w:rsidRPr="004B2796">
              <w:rPr>
                <w:sz w:val="22"/>
                <w:szCs w:val="22"/>
              </w:rPr>
              <w:t>--</w:t>
            </w:r>
          </w:p>
        </w:tc>
      </w:tr>
      <w:tr w:rsidR="00E465D0" w:rsidRPr="004B2796" w14:paraId="33AFA7E0"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3CBCBCE8" w14:textId="77777777" w:rsidR="00E465D0" w:rsidRPr="004B2796" w:rsidRDefault="00E465D0" w:rsidP="00AB236A">
            <w:pPr>
              <w:spacing w:after="0"/>
              <w:jc w:val="left"/>
              <w:rPr>
                <w:sz w:val="22"/>
                <w:szCs w:val="22"/>
              </w:rPr>
            </w:pPr>
            <w:r w:rsidRPr="004B2796">
              <w:rPr>
                <w:sz w:val="22"/>
                <w:szCs w:val="22"/>
              </w:rPr>
              <w:t xml:space="preserve"> 25 to 34</w:t>
            </w:r>
          </w:p>
        </w:tc>
        <w:tc>
          <w:tcPr>
            <w:tcW w:w="900" w:type="dxa"/>
            <w:tcBorders>
              <w:top w:val="nil"/>
              <w:left w:val="nil"/>
              <w:bottom w:val="nil"/>
              <w:right w:val="nil"/>
            </w:tcBorders>
            <w:shd w:val="clear" w:color="auto" w:fill="auto"/>
            <w:noWrap/>
            <w:vAlign w:val="center"/>
            <w:hideMark/>
          </w:tcPr>
          <w:p w14:paraId="2FA7F2F7" w14:textId="77777777" w:rsidR="00E465D0" w:rsidRPr="004B2796" w:rsidRDefault="00E465D0" w:rsidP="00AB236A">
            <w:pPr>
              <w:spacing w:after="0"/>
              <w:jc w:val="right"/>
              <w:rPr>
                <w:rFonts w:eastAsia="Calibri"/>
                <w:sz w:val="22"/>
                <w:szCs w:val="22"/>
              </w:rPr>
            </w:pPr>
            <w:r w:rsidRPr="004B2796">
              <w:rPr>
                <w:sz w:val="22"/>
                <w:szCs w:val="22"/>
              </w:rPr>
              <w:t>621</w:t>
            </w:r>
          </w:p>
        </w:tc>
        <w:tc>
          <w:tcPr>
            <w:tcW w:w="809" w:type="dxa"/>
            <w:tcBorders>
              <w:top w:val="nil"/>
              <w:left w:val="nil"/>
              <w:bottom w:val="nil"/>
              <w:right w:val="nil"/>
            </w:tcBorders>
            <w:vAlign w:val="center"/>
          </w:tcPr>
          <w:p w14:paraId="5920A9AC" w14:textId="77777777" w:rsidR="00E465D0" w:rsidRPr="004B2796" w:rsidRDefault="00E465D0" w:rsidP="00AB236A">
            <w:pPr>
              <w:spacing w:after="0"/>
              <w:jc w:val="right"/>
              <w:rPr>
                <w:rFonts w:eastAsia="Calibri"/>
                <w:sz w:val="22"/>
                <w:szCs w:val="22"/>
              </w:rPr>
            </w:pPr>
            <w:r w:rsidRPr="004B2796">
              <w:rPr>
                <w:sz w:val="22"/>
                <w:szCs w:val="22"/>
              </w:rPr>
              <w:t>32.3</w:t>
            </w:r>
          </w:p>
        </w:tc>
        <w:tc>
          <w:tcPr>
            <w:tcW w:w="810" w:type="dxa"/>
            <w:tcBorders>
              <w:top w:val="nil"/>
              <w:left w:val="nil"/>
              <w:bottom w:val="nil"/>
              <w:right w:val="double" w:sz="6" w:space="0" w:color="auto"/>
            </w:tcBorders>
            <w:shd w:val="clear" w:color="auto" w:fill="auto"/>
            <w:noWrap/>
            <w:vAlign w:val="center"/>
          </w:tcPr>
          <w:p w14:paraId="551A1150" w14:textId="77777777" w:rsidR="00E465D0" w:rsidRPr="004B2796" w:rsidRDefault="00E465D0" w:rsidP="00AB236A">
            <w:pPr>
              <w:spacing w:after="0"/>
              <w:jc w:val="right"/>
              <w:rPr>
                <w:rFonts w:eastAsia="Calibri"/>
                <w:sz w:val="22"/>
                <w:szCs w:val="22"/>
              </w:rPr>
            </w:pPr>
            <w:r w:rsidRPr="004B2796">
              <w:rPr>
                <w:sz w:val="22"/>
                <w:szCs w:val="22"/>
              </w:rPr>
              <w:t>23.2</w:t>
            </w:r>
          </w:p>
        </w:tc>
        <w:tc>
          <w:tcPr>
            <w:tcW w:w="5051" w:type="dxa"/>
            <w:tcBorders>
              <w:top w:val="nil"/>
              <w:left w:val="nil"/>
              <w:bottom w:val="nil"/>
              <w:right w:val="nil"/>
            </w:tcBorders>
            <w:shd w:val="clear" w:color="auto" w:fill="auto"/>
            <w:noWrap/>
            <w:vAlign w:val="center"/>
          </w:tcPr>
          <w:p w14:paraId="6416FE21" w14:textId="77777777" w:rsidR="00E465D0" w:rsidRPr="004B2796" w:rsidRDefault="00E465D0" w:rsidP="00AB236A">
            <w:pPr>
              <w:spacing w:after="0"/>
              <w:jc w:val="left"/>
              <w:rPr>
                <w:sz w:val="22"/>
                <w:szCs w:val="22"/>
              </w:rPr>
            </w:pPr>
            <w:r w:rsidRPr="004B2796">
              <w:rPr>
                <w:b/>
                <w:bCs/>
                <w:sz w:val="22"/>
                <w:szCs w:val="22"/>
              </w:rPr>
              <w:t xml:space="preserve"> Household structure</w:t>
            </w:r>
          </w:p>
        </w:tc>
        <w:tc>
          <w:tcPr>
            <w:tcW w:w="803" w:type="dxa"/>
            <w:tcBorders>
              <w:top w:val="nil"/>
              <w:left w:val="nil"/>
              <w:bottom w:val="nil"/>
              <w:right w:val="nil"/>
            </w:tcBorders>
            <w:shd w:val="clear" w:color="auto" w:fill="auto"/>
            <w:noWrap/>
            <w:vAlign w:val="center"/>
          </w:tcPr>
          <w:p w14:paraId="6120308C" w14:textId="77777777" w:rsidR="00E465D0" w:rsidRPr="004B2796" w:rsidRDefault="00E465D0" w:rsidP="00302827">
            <w:pPr>
              <w:spacing w:after="0"/>
              <w:jc w:val="right"/>
              <w:rPr>
                <w:rFonts w:eastAsia="Calibri"/>
                <w:sz w:val="22"/>
                <w:szCs w:val="22"/>
              </w:rPr>
            </w:pPr>
          </w:p>
        </w:tc>
        <w:tc>
          <w:tcPr>
            <w:tcW w:w="806" w:type="dxa"/>
            <w:tcBorders>
              <w:top w:val="nil"/>
              <w:left w:val="nil"/>
              <w:bottom w:val="nil"/>
              <w:right w:val="nil"/>
            </w:tcBorders>
            <w:vAlign w:val="center"/>
          </w:tcPr>
          <w:p w14:paraId="2AF34EAA" w14:textId="77777777" w:rsidR="00E465D0" w:rsidRPr="004B2796" w:rsidRDefault="00E465D0" w:rsidP="00302827">
            <w:pPr>
              <w:spacing w:after="0"/>
              <w:jc w:val="right"/>
              <w:rPr>
                <w:rFonts w:eastAsia="Calibri"/>
                <w:color w:val="000000"/>
                <w:sz w:val="22"/>
                <w:szCs w:val="22"/>
              </w:rPr>
            </w:pPr>
          </w:p>
        </w:tc>
        <w:tc>
          <w:tcPr>
            <w:tcW w:w="810" w:type="dxa"/>
            <w:tcBorders>
              <w:top w:val="nil"/>
              <w:left w:val="nil"/>
              <w:bottom w:val="nil"/>
              <w:right w:val="double" w:sz="6" w:space="0" w:color="auto"/>
            </w:tcBorders>
            <w:shd w:val="clear" w:color="auto" w:fill="auto"/>
            <w:noWrap/>
            <w:vAlign w:val="center"/>
          </w:tcPr>
          <w:p w14:paraId="531DA77F" w14:textId="77777777" w:rsidR="00E465D0" w:rsidRPr="004B2796" w:rsidRDefault="00E465D0" w:rsidP="00302827">
            <w:pPr>
              <w:spacing w:after="0"/>
              <w:jc w:val="right"/>
              <w:rPr>
                <w:sz w:val="22"/>
                <w:szCs w:val="22"/>
              </w:rPr>
            </w:pPr>
          </w:p>
        </w:tc>
      </w:tr>
      <w:tr w:rsidR="00E465D0" w:rsidRPr="004B2796" w14:paraId="6404596B"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74C81610" w14:textId="77777777" w:rsidR="00E465D0" w:rsidRPr="004B2796" w:rsidRDefault="00E465D0" w:rsidP="00AB236A">
            <w:pPr>
              <w:spacing w:after="0"/>
              <w:jc w:val="left"/>
              <w:rPr>
                <w:sz w:val="22"/>
                <w:szCs w:val="22"/>
              </w:rPr>
            </w:pPr>
            <w:r w:rsidRPr="004B2796">
              <w:rPr>
                <w:sz w:val="22"/>
                <w:szCs w:val="22"/>
              </w:rPr>
              <w:t xml:space="preserve"> 35 to 44</w:t>
            </w:r>
          </w:p>
        </w:tc>
        <w:tc>
          <w:tcPr>
            <w:tcW w:w="900" w:type="dxa"/>
            <w:tcBorders>
              <w:top w:val="nil"/>
              <w:left w:val="nil"/>
              <w:bottom w:val="nil"/>
              <w:right w:val="nil"/>
            </w:tcBorders>
            <w:shd w:val="clear" w:color="auto" w:fill="auto"/>
            <w:noWrap/>
            <w:vAlign w:val="center"/>
            <w:hideMark/>
          </w:tcPr>
          <w:p w14:paraId="3B034DE9" w14:textId="77777777" w:rsidR="00E465D0" w:rsidRPr="004B2796" w:rsidRDefault="00E465D0" w:rsidP="00AB236A">
            <w:pPr>
              <w:spacing w:after="0"/>
              <w:jc w:val="right"/>
              <w:rPr>
                <w:rFonts w:eastAsia="Calibri"/>
                <w:sz w:val="22"/>
                <w:szCs w:val="22"/>
              </w:rPr>
            </w:pPr>
            <w:r w:rsidRPr="004B2796">
              <w:rPr>
                <w:sz w:val="22"/>
                <w:szCs w:val="22"/>
              </w:rPr>
              <w:t>543</w:t>
            </w:r>
          </w:p>
        </w:tc>
        <w:tc>
          <w:tcPr>
            <w:tcW w:w="809" w:type="dxa"/>
            <w:tcBorders>
              <w:top w:val="nil"/>
              <w:left w:val="nil"/>
              <w:bottom w:val="nil"/>
              <w:right w:val="nil"/>
            </w:tcBorders>
            <w:vAlign w:val="center"/>
          </w:tcPr>
          <w:p w14:paraId="08D0C548" w14:textId="77777777" w:rsidR="00E465D0" w:rsidRPr="004B2796" w:rsidRDefault="00E465D0" w:rsidP="00AB236A">
            <w:pPr>
              <w:spacing w:after="0"/>
              <w:jc w:val="right"/>
              <w:rPr>
                <w:rFonts w:eastAsia="Calibri"/>
                <w:sz w:val="22"/>
                <w:szCs w:val="22"/>
              </w:rPr>
            </w:pPr>
            <w:r w:rsidRPr="004B2796">
              <w:rPr>
                <w:sz w:val="22"/>
                <w:szCs w:val="22"/>
              </w:rPr>
              <w:t>28.3</w:t>
            </w:r>
          </w:p>
        </w:tc>
        <w:tc>
          <w:tcPr>
            <w:tcW w:w="810" w:type="dxa"/>
            <w:tcBorders>
              <w:top w:val="nil"/>
              <w:left w:val="nil"/>
              <w:bottom w:val="nil"/>
              <w:right w:val="double" w:sz="6" w:space="0" w:color="auto"/>
            </w:tcBorders>
            <w:shd w:val="clear" w:color="auto" w:fill="auto"/>
            <w:noWrap/>
            <w:vAlign w:val="center"/>
          </w:tcPr>
          <w:p w14:paraId="4C2D0245" w14:textId="77777777" w:rsidR="00E465D0" w:rsidRPr="004B2796" w:rsidRDefault="00E465D0" w:rsidP="00AB236A">
            <w:pPr>
              <w:spacing w:after="0"/>
              <w:jc w:val="right"/>
              <w:rPr>
                <w:rFonts w:eastAsia="Calibri"/>
                <w:sz w:val="22"/>
                <w:szCs w:val="22"/>
              </w:rPr>
            </w:pPr>
            <w:r w:rsidRPr="004B2796">
              <w:rPr>
                <w:sz w:val="22"/>
                <w:szCs w:val="22"/>
              </w:rPr>
              <w:t>21.1</w:t>
            </w:r>
          </w:p>
        </w:tc>
        <w:tc>
          <w:tcPr>
            <w:tcW w:w="5051" w:type="dxa"/>
            <w:tcBorders>
              <w:top w:val="nil"/>
              <w:left w:val="nil"/>
              <w:right w:val="nil"/>
            </w:tcBorders>
            <w:shd w:val="clear" w:color="auto" w:fill="auto"/>
            <w:noWrap/>
            <w:vAlign w:val="center"/>
          </w:tcPr>
          <w:p w14:paraId="75BCE3DC" w14:textId="77777777" w:rsidR="00E465D0" w:rsidRPr="004B2796" w:rsidRDefault="00E465D0" w:rsidP="00AB236A">
            <w:pPr>
              <w:spacing w:after="0"/>
              <w:jc w:val="left"/>
              <w:rPr>
                <w:sz w:val="22"/>
                <w:szCs w:val="22"/>
              </w:rPr>
            </w:pPr>
            <w:r w:rsidRPr="004B2796">
              <w:rPr>
                <w:sz w:val="22"/>
                <w:szCs w:val="22"/>
              </w:rPr>
              <w:t xml:space="preserve"> Lives alone</w:t>
            </w:r>
          </w:p>
        </w:tc>
        <w:tc>
          <w:tcPr>
            <w:tcW w:w="803" w:type="dxa"/>
            <w:tcBorders>
              <w:top w:val="nil"/>
              <w:left w:val="nil"/>
              <w:right w:val="nil"/>
            </w:tcBorders>
            <w:shd w:val="clear" w:color="auto" w:fill="auto"/>
            <w:noWrap/>
            <w:vAlign w:val="center"/>
          </w:tcPr>
          <w:p w14:paraId="6A7E641C" w14:textId="77777777" w:rsidR="00E465D0" w:rsidRPr="004B2796" w:rsidRDefault="00E465D0" w:rsidP="00AB236A">
            <w:pPr>
              <w:spacing w:after="0"/>
              <w:jc w:val="right"/>
              <w:rPr>
                <w:rFonts w:eastAsia="Calibri"/>
                <w:sz w:val="22"/>
                <w:szCs w:val="22"/>
              </w:rPr>
            </w:pPr>
            <w:r w:rsidRPr="004B2796">
              <w:rPr>
                <w:sz w:val="22"/>
                <w:szCs w:val="22"/>
              </w:rPr>
              <w:t>623</w:t>
            </w:r>
          </w:p>
        </w:tc>
        <w:tc>
          <w:tcPr>
            <w:tcW w:w="806" w:type="dxa"/>
            <w:tcBorders>
              <w:top w:val="nil"/>
              <w:left w:val="nil"/>
              <w:right w:val="nil"/>
            </w:tcBorders>
            <w:vAlign w:val="center"/>
          </w:tcPr>
          <w:p w14:paraId="0DD36350" w14:textId="77777777" w:rsidR="00E465D0" w:rsidRPr="004B2796" w:rsidRDefault="00E465D0" w:rsidP="00AB236A">
            <w:pPr>
              <w:spacing w:after="0"/>
              <w:jc w:val="right"/>
              <w:rPr>
                <w:rFonts w:eastAsia="Calibri"/>
                <w:color w:val="000000"/>
                <w:sz w:val="22"/>
                <w:szCs w:val="22"/>
              </w:rPr>
            </w:pPr>
            <w:r w:rsidRPr="004B2796">
              <w:rPr>
                <w:sz w:val="22"/>
                <w:szCs w:val="22"/>
              </w:rPr>
              <w:t>32.4</w:t>
            </w:r>
          </w:p>
        </w:tc>
        <w:tc>
          <w:tcPr>
            <w:tcW w:w="810" w:type="dxa"/>
            <w:tcBorders>
              <w:top w:val="nil"/>
              <w:left w:val="nil"/>
              <w:right w:val="double" w:sz="4" w:space="0" w:color="auto"/>
            </w:tcBorders>
            <w:shd w:val="clear" w:color="auto" w:fill="auto"/>
            <w:noWrap/>
            <w:vAlign w:val="center"/>
          </w:tcPr>
          <w:p w14:paraId="01959F13"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3FB10FFB"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hideMark/>
          </w:tcPr>
          <w:p w14:paraId="15E73C96" w14:textId="77777777" w:rsidR="00E465D0" w:rsidRPr="004B2796" w:rsidRDefault="00E465D0" w:rsidP="00AB236A">
            <w:pPr>
              <w:spacing w:after="0"/>
              <w:jc w:val="left"/>
              <w:rPr>
                <w:sz w:val="22"/>
                <w:szCs w:val="22"/>
              </w:rPr>
            </w:pPr>
            <w:r w:rsidRPr="004B2796">
              <w:rPr>
                <w:sz w:val="22"/>
                <w:szCs w:val="22"/>
              </w:rPr>
              <w:t xml:space="preserve"> 45 to 54</w:t>
            </w:r>
          </w:p>
        </w:tc>
        <w:tc>
          <w:tcPr>
            <w:tcW w:w="900" w:type="dxa"/>
            <w:tcBorders>
              <w:top w:val="nil"/>
              <w:left w:val="nil"/>
              <w:bottom w:val="nil"/>
              <w:right w:val="nil"/>
            </w:tcBorders>
            <w:shd w:val="clear" w:color="auto" w:fill="auto"/>
            <w:noWrap/>
            <w:vAlign w:val="center"/>
            <w:hideMark/>
          </w:tcPr>
          <w:p w14:paraId="630BF5D8" w14:textId="77777777" w:rsidR="00E465D0" w:rsidRPr="004B2796" w:rsidRDefault="00E465D0" w:rsidP="00AB236A">
            <w:pPr>
              <w:spacing w:after="0"/>
              <w:jc w:val="right"/>
              <w:rPr>
                <w:rFonts w:eastAsia="Calibri"/>
                <w:sz w:val="22"/>
                <w:szCs w:val="22"/>
              </w:rPr>
            </w:pPr>
            <w:r w:rsidRPr="004B2796">
              <w:rPr>
                <w:sz w:val="22"/>
                <w:szCs w:val="22"/>
              </w:rPr>
              <w:t>312</w:t>
            </w:r>
          </w:p>
        </w:tc>
        <w:tc>
          <w:tcPr>
            <w:tcW w:w="809" w:type="dxa"/>
            <w:tcBorders>
              <w:top w:val="nil"/>
              <w:left w:val="nil"/>
              <w:bottom w:val="nil"/>
              <w:right w:val="nil"/>
            </w:tcBorders>
            <w:vAlign w:val="center"/>
          </w:tcPr>
          <w:p w14:paraId="5CE357E1" w14:textId="77777777" w:rsidR="00E465D0" w:rsidRPr="004B2796" w:rsidRDefault="00E465D0" w:rsidP="00AB236A">
            <w:pPr>
              <w:spacing w:after="0"/>
              <w:jc w:val="right"/>
              <w:rPr>
                <w:rFonts w:eastAsia="Calibri"/>
                <w:sz w:val="22"/>
                <w:szCs w:val="22"/>
              </w:rPr>
            </w:pPr>
            <w:r w:rsidRPr="004B2796">
              <w:rPr>
                <w:sz w:val="22"/>
                <w:szCs w:val="22"/>
              </w:rPr>
              <w:t>16.3</w:t>
            </w:r>
          </w:p>
        </w:tc>
        <w:tc>
          <w:tcPr>
            <w:tcW w:w="810" w:type="dxa"/>
            <w:tcBorders>
              <w:top w:val="nil"/>
              <w:left w:val="nil"/>
              <w:bottom w:val="nil"/>
              <w:right w:val="double" w:sz="6" w:space="0" w:color="auto"/>
            </w:tcBorders>
            <w:shd w:val="clear" w:color="auto" w:fill="auto"/>
            <w:noWrap/>
            <w:vAlign w:val="center"/>
          </w:tcPr>
          <w:p w14:paraId="18AF289C" w14:textId="77777777" w:rsidR="00E465D0" w:rsidRPr="004B2796" w:rsidRDefault="00E465D0" w:rsidP="00AB236A">
            <w:pPr>
              <w:spacing w:after="0"/>
              <w:jc w:val="right"/>
              <w:rPr>
                <w:rFonts w:eastAsia="Calibri"/>
                <w:sz w:val="22"/>
                <w:szCs w:val="22"/>
              </w:rPr>
            </w:pPr>
            <w:r w:rsidRPr="004B2796">
              <w:rPr>
                <w:sz w:val="22"/>
                <w:szCs w:val="22"/>
              </w:rPr>
              <w:t>14.2</w:t>
            </w:r>
          </w:p>
        </w:tc>
        <w:tc>
          <w:tcPr>
            <w:tcW w:w="5051" w:type="dxa"/>
            <w:tcBorders>
              <w:top w:val="nil"/>
              <w:left w:val="nil"/>
              <w:bottom w:val="nil"/>
            </w:tcBorders>
            <w:shd w:val="clear" w:color="auto" w:fill="auto"/>
            <w:noWrap/>
            <w:vAlign w:val="center"/>
          </w:tcPr>
          <w:p w14:paraId="12B5A24B" w14:textId="77777777" w:rsidR="00E465D0" w:rsidRPr="004B2796" w:rsidRDefault="00E465D0" w:rsidP="00AB236A">
            <w:pPr>
              <w:spacing w:after="0"/>
              <w:jc w:val="left"/>
              <w:rPr>
                <w:sz w:val="22"/>
                <w:szCs w:val="22"/>
              </w:rPr>
            </w:pPr>
            <w:r w:rsidRPr="004B2796">
              <w:rPr>
                <w:sz w:val="22"/>
                <w:szCs w:val="22"/>
              </w:rPr>
              <w:t xml:space="preserve"> Does not live alone and has no kids</w:t>
            </w:r>
          </w:p>
        </w:tc>
        <w:tc>
          <w:tcPr>
            <w:tcW w:w="803" w:type="dxa"/>
            <w:tcBorders>
              <w:top w:val="nil"/>
              <w:left w:val="nil"/>
              <w:bottom w:val="nil"/>
            </w:tcBorders>
            <w:shd w:val="clear" w:color="auto" w:fill="auto"/>
            <w:vAlign w:val="center"/>
          </w:tcPr>
          <w:p w14:paraId="5D1FE4DF" w14:textId="77777777" w:rsidR="00E465D0" w:rsidRPr="004B2796" w:rsidRDefault="00E465D0" w:rsidP="00AB236A">
            <w:pPr>
              <w:spacing w:after="0"/>
              <w:jc w:val="right"/>
              <w:rPr>
                <w:sz w:val="22"/>
                <w:szCs w:val="22"/>
              </w:rPr>
            </w:pPr>
            <w:r w:rsidRPr="004B2796">
              <w:rPr>
                <w:sz w:val="22"/>
                <w:szCs w:val="22"/>
              </w:rPr>
              <w:t>784</w:t>
            </w:r>
          </w:p>
        </w:tc>
        <w:tc>
          <w:tcPr>
            <w:tcW w:w="806" w:type="dxa"/>
            <w:tcBorders>
              <w:top w:val="nil"/>
              <w:left w:val="nil"/>
              <w:bottom w:val="nil"/>
              <w:right w:val="nil"/>
            </w:tcBorders>
            <w:vAlign w:val="center"/>
          </w:tcPr>
          <w:p w14:paraId="2B9C1FBF" w14:textId="77777777" w:rsidR="00E465D0" w:rsidRPr="004B2796" w:rsidRDefault="00E465D0" w:rsidP="00AB236A">
            <w:pPr>
              <w:spacing w:after="0"/>
              <w:jc w:val="right"/>
              <w:rPr>
                <w:sz w:val="22"/>
                <w:szCs w:val="22"/>
              </w:rPr>
            </w:pPr>
            <w:r w:rsidRPr="004B2796">
              <w:rPr>
                <w:sz w:val="22"/>
                <w:szCs w:val="22"/>
              </w:rPr>
              <w:t>40.8</w:t>
            </w:r>
          </w:p>
        </w:tc>
        <w:tc>
          <w:tcPr>
            <w:tcW w:w="810" w:type="dxa"/>
            <w:tcBorders>
              <w:top w:val="nil"/>
              <w:left w:val="nil"/>
              <w:bottom w:val="nil"/>
              <w:right w:val="double" w:sz="4" w:space="0" w:color="auto"/>
            </w:tcBorders>
            <w:shd w:val="clear" w:color="auto" w:fill="auto"/>
            <w:vAlign w:val="center"/>
          </w:tcPr>
          <w:p w14:paraId="1F7AA8F9"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2489320D"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06BEDA84" w14:textId="77777777" w:rsidR="00E465D0" w:rsidRPr="004B2796" w:rsidRDefault="00E465D0" w:rsidP="00AB236A">
            <w:pPr>
              <w:spacing w:after="0"/>
              <w:jc w:val="left"/>
              <w:rPr>
                <w:sz w:val="22"/>
                <w:szCs w:val="22"/>
              </w:rPr>
            </w:pPr>
            <w:r w:rsidRPr="004B2796">
              <w:rPr>
                <w:sz w:val="22"/>
                <w:szCs w:val="22"/>
              </w:rPr>
              <w:t xml:space="preserve"> 55 to 64</w:t>
            </w:r>
          </w:p>
        </w:tc>
        <w:tc>
          <w:tcPr>
            <w:tcW w:w="900" w:type="dxa"/>
            <w:tcBorders>
              <w:top w:val="nil"/>
              <w:left w:val="nil"/>
              <w:bottom w:val="nil"/>
              <w:right w:val="nil"/>
            </w:tcBorders>
            <w:shd w:val="clear" w:color="auto" w:fill="auto"/>
            <w:noWrap/>
            <w:vAlign w:val="center"/>
          </w:tcPr>
          <w:p w14:paraId="62D1B49F" w14:textId="77777777" w:rsidR="00E465D0" w:rsidRPr="004B2796" w:rsidRDefault="00E465D0" w:rsidP="00AB236A">
            <w:pPr>
              <w:spacing w:after="0"/>
              <w:jc w:val="right"/>
              <w:rPr>
                <w:rFonts w:eastAsia="Calibri"/>
                <w:sz w:val="22"/>
                <w:szCs w:val="22"/>
              </w:rPr>
            </w:pPr>
            <w:r w:rsidRPr="004B2796">
              <w:rPr>
                <w:sz w:val="22"/>
                <w:szCs w:val="22"/>
              </w:rPr>
              <w:t>285</w:t>
            </w:r>
          </w:p>
        </w:tc>
        <w:tc>
          <w:tcPr>
            <w:tcW w:w="809" w:type="dxa"/>
            <w:tcBorders>
              <w:top w:val="nil"/>
              <w:left w:val="nil"/>
              <w:bottom w:val="nil"/>
              <w:right w:val="nil"/>
            </w:tcBorders>
            <w:vAlign w:val="center"/>
          </w:tcPr>
          <w:p w14:paraId="220B1A38" w14:textId="77777777" w:rsidR="00E465D0" w:rsidRPr="004B2796" w:rsidRDefault="00E465D0" w:rsidP="00AB236A">
            <w:pPr>
              <w:spacing w:after="0"/>
              <w:jc w:val="right"/>
              <w:rPr>
                <w:rFonts w:eastAsia="Calibri"/>
                <w:sz w:val="22"/>
                <w:szCs w:val="22"/>
              </w:rPr>
            </w:pPr>
            <w:r w:rsidRPr="004B2796">
              <w:rPr>
                <w:sz w:val="22"/>
                <w:szCs w:val="22"/>
              </w:rPr>
              <w:t>14.8</w:t>
            </w:r>
          </w:p>
        </w:tc>
        <w:tc>
          <w:tcPr>
            <w:tcW w:w="810" w:type="dxa"/>
            <w:tcBorders>
              <w:top w:val="nil"/>
              <w:left w:val="nil"/>
              <w:bottom w:val="nil"/>
              <w:right w:val="double" w:sz="6" w:space="0" w:color="auto"/>
            </w:tcBorders>
            <w:shd w:val="clear" w:color="auto" w:fill="auto"/>
            <w:noWrap/>
            <w:vAlign w:val="center"/>
          </w:tcPr>
          <w:p w14:paraId="1EF9A3BF" w14:textId="77777777" w:rsidR="00E465D0" w:rsidRPr="004B2796" w:rsidRDefault="00E465D0" w:rsidP="00AB236A">
            <w:pPr>
              <w:spacing w:after="0"/>
              <w:jc w:val="right"/>
              <w:rPr>
                <w:sz w:val="22"/>
                <w:szCs w:val="22"/>
              </w:rPr>
            </w:pPr>
            <w:r w:rsidRPr="004B2796">
              <w:rPr>
                <w:sz w:val="22"/>
                <w:szCs w:val="22"/>
              </w:rPr>
              <w:t>10.2</w:t>
            </w:r>
          </w:p>
        </w:tc>
        <w:tc>
          <w:tcPr>
            <w:tcW w:w="5051" w:type="dxa"/>
            <w:tcBorders>
              <w:top w:val="nil"/>
              <w:left w:val="nil"/>
              <w:bottom w:val="nil"/>
            </w:tcBorders>
            <w:shd w:val="clear" w:color="auto" w:fill="auto"/>
            <w:noWrap/>
            <w:vAlign w:val="center"/>
          </w:tcPr>
          <w:p w14:paraId="6A0BA236" w14:textId="77777777" w:rsidR="00E465D0" w:rsidRPr="004B2796" w:rsidRDefault="00E465D0" w:rsidP="00AB236A">
            <w:pPr>
              <w:spacing w:after="0"/>
              <w:jc w:val="left"/>
              <w:rPr>
                <w:sz w:val="22"/>
                <w:szCs w:val="22"/>
              </w:rPr>
            </w:pPr>
            <w:r w:rsidRPr="004B2796">
              <w:rPr>
                <w:sz w:val="22"/>
                <w:szCs w:val="22"/>
              </w:rPr>
              <w:t xml:space="preserve"> Does not live with partner and has kids (single parent)</w:t>
            </w:r>
          </w:p>
        </w:tc>
        <w:tc>
          <w:tcPr>
            <w:tcW w:w="803" w:type="dxa"/>
            <w:tcBorders>
              <w:top w:val="nil"/>
              <w:left w:val="nil"/>
              <w:bottom w:val="nil"/>
            </w:tcBorders>
            <w:shd w:val="clear" w:color="auto" w:fill="auto"/>
            <w:vAlign w:val="center"/>
          </w:tcPr>
          <w:p w14:paraId="5B5AEAED" w14:textId="77777777" w:rsidR="00E465D0" w:rsidRPr="004B2796" w:rsidRDefault="00E465D0" w:rsidP="00AB236A">
            <w:pPr>
              <w:spacing w:after="0"/>
              <w:jc w:val="right"/>
              <w:rPr>
                <w:sz w:val="22"/>
                <w:szCs w:val="22"/>
              </w:rPr>
            </w:pPr>
            <w:r w:rsidRPr="004B2796">
              <w:rPr>
                <w:sz w:val="22"/>
                <w:szCs w:val="22"/>
              </w:rPr>
              <w:t>82</w:t>
            </w:r>
          </w:p>
        </w:tc>
        <w:tc>
          <w:tcPr>
            <w:tcW w:w="806" w:type="dxa"/>
            <w:tcBorders>
              <w:top w:val="nil"/>
              <w:left w:val="nil"/>
              <w:bottom w:val="nil"/>
              <w:right w:val="nil"/>
            </w:tcBorders>
            <w:vAlign w:val="center"/>
          </w:tcPr>
          <w:p w14:paraId="49F362DC" w14:textId="77777777" w:rsidR="00E465D0" w:rsidRPr="004B2796" w:rsidRDefault="00E465D0" w:rsidP="00AB236A">
            <w:pPr>
              <w:spacing w:after="0"/>
              <w:jc w:val="right"/>
              <w:rPr>
                <w:sz w:val="22"/>
                <w:szCs w:val="22"/>
              </w:rPr>
            </w:pPr>
            <w:r w:rsidRPr="004B2796">
              <w:rPr>
                <w:sz w:val="22"/>
                <w:szCs w:val="22"/>
              </w:rPr>
              <w:t>4.3</w:t>
            </w:r>
          </w:p>
        </w:tc>
        <w:tc>
          <w:tcPr>
            <w:tcW w:w="810" w:type="dxa"/>
            <w:tcBorders>
              <w:top w:val="nil"/>
              <w:left w:val="nil"/>
              <w:bottom w:val="nil"/>
              <w:right w:val="double" w:sz="4" w:space="0" w:color="auto"/>
            </w:tcBorders>
            <w:shd w:val="clear" w:color="auto" w:fill="auto"/>
            <w:vAlign w:val="center"/>
          </w:tcPr>
          <w:p w14:paraId="192466D1"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07B4F49E" w14:textId="77777777" w:rsidTr="00AB236A">
        <w:trPr>
          <w:gridAfter w:val="1"/>
          <w:wAfter w:w="1178" w:type="dxa"/>
          <w:trHeight w:val="274"/>
        </w:trPr>
        <w:tc>
          <w:tcPr>
            <w:tcW w:w="3240" w:type="dxa"/>
            <w:tcBorders>
              <w:top w:val="nil"/>
              <w:left w:val="double" w:sz="6" w:space="0" w:color="auto"/>
            </w:tcBorders>
            <w:shd w:val="clear" w:color="auto" w:fill="auto"/>
            <w:noWrap/>
            <w:vAlign w:val="center"/>
            <w:hideMark/>
          </w:tcPr>
          <w:p w14:paraId="3E51D332" w14:textId="77777777" w:rsidR="00E465D0" w:rsidRPr="004B2796" w:rsidRDefault="00E465D0" w:rsidP="00AB236A">
            <w:pPr>
              <w:spacing w:after="0"/>
              <w:jc w:val="left"/>
              <w:rPr>
                <w:sz w:val="22"/>
                <w:szCs w:val="22"/>
              </w:rPr>
            </w:pPr>
            <w:r w:rsidRPr="004B2796">
              <w:rPr>
                <w:sz w:val="22"/>
                <w:szCs w:val="22"/>
              </w:rPr>
              <w:t xml:space="preserve"> 65 or older</w:t>
            </w:r>
          </w:p>
        </w:tc>
        <w:tc>
          <w:tcPr>
            <w:tcW w:w="900" w:type="dxa"/>
            <w:tcBorders>
              <w:top w:val="nil"/>
              <w:left w:val="nil"/>
              <w:right w:val="nil"/>
            </w:tcBorders>
            <w:shd w:val="clear" w:color="auto" w:fill="auto"/>
            <w:noWrap/>
            <w:vAlign w:val="center"/>
            <w:hideMark/>
          </w:tcPr>
          <w:p w14:paraId="64200106" w14:textId="77777777" w:rsidR="00E465D0" w:rsidRPr="004B2796" w:rsidRDefault="00E465D0" w:rsidP="00AB236A">
            <w:pPr>
              <w:spacing w:after="0"/>
              <w:jc w:val="right"/>
              <w:rPr>
                <w:rFonts w:eastAsia="Calibri"/>
                <w:sz w:val="22"/>
                <w:szCs w:val="22"/>
              </w:rPr>
            </w:pPr>
            <w:r w:rsidRPr="004B2796">
              <w:rPr>
                <w:sz w:val="22"/>
                <w:szCs w:val="22"/>
              </w:rPr>
              <w:t>44</w:t>
            </w:r>
          </w:p>
        </w:tc>
        <w:tc>
          <w:tcPr>
            <w:tcW w:w="809" w:type="dxa"/>
            <w:tcBorders>
              <w:top w:val="nil"/>
              <w:left w:val="nil"/>
              <w:right w:val="nil"/>
            </w:tcBorders>
            <w:vAlign w:val="center"/>
          </w:tcPr>
          <w:p w14:paraId="3AD4378B" w14:textId="77777777" w:rsidR="00E465D0" w:rsidRPr="004B2796" w:rsidRDefault="00E465D0" w:rsidP="00AB236A">
            <w:pPr>
              <w:spacing w:after="0"/>
              <w:jc w:val="right"/>
              <w:rPr>
                <w:rFonts w:eastAsia="Calibri"/>
                <w:sz w:val="22"/>
                <w:szCs w:val="22"/>
              </w:rPr>
            </w:pPr>
            <w:r w:rsidRPr="004B2796">
              <w:rPr>
                <w:sz w:val="22"/>
                <w:szCs w:val="22"/>
              </w:rPr>
              <w:t>2.3</w:t>
            </w:r>
          </w:p>
        </w:tc>
        <w:tc>
          <w:tcPr>
            <w:tcW w:w="810" w:type="dxa"/>
            <w:tcBorders>
              <w:top w:val="nil"/>
              <w:left w:val="nil"/>
              <w:right w:val="double" w:sz="6" w:space="0" w:color="auto"/>
            </w:tcBorders>
            <w:shd w:val="clear" w:color="auto" w:fill="auto"/>
            <w:noWrap/>
            <w:vAlign w:val="center"/>
          </w:tcPr>
          <w:p w14:paraId="7A63ACB4" w14:textId="77777777" w:rsidR="00E465D0" w:rsidRPr="004B2796" w:rsidRDefault="00E465D0" w:rsidP="00AB236A">
            <w:pPr>
              <w:spacing w:after="0"/>
              <w:jc w:val="right"/>
              <w:rPr>
                <w:rFonts w:eastAsia="Calibri"/>
                <w:sz w:val="22"/>
                <w:szCs w:val="22"/>
              </w:rPr>
            </w:pPr>
            <w:r w:rsidRPr="004B2796">
              <w:rPr>
                <w:sz w:val="22"/>
                <w:szCs w:val="22"/>
              </w:rPr>
              <w:t>5.3</w:t>
            </w:r>
          </w:p>
        </w:tc>
        <w:tc>
          <w:tcPr>
            <w:tcW w:w="5051" w:type="dxa"/>
            <w:tcBorders>
              <w:top w:val="nil"/>
              <w:left w:val="nil"/>
              <w:bottom w:val="nil"/>
            </w:tcBorders>
            <w:shd w:val="clear" w:color="auto" w:fill="auto"/>
            <w:noWrap/>
            <w:vAlign w:val="center"/>
          </w:tcPr>
          <w:p w14:paraId="5CE57418" w14:textId="77777777" w:rsidR="00E465D0" w:rsidRPr="004B2796" w:rsidRDefault="00E465D0" w:rsidP="00AB236A">
            <w:pPr>
              <w:spacing w:after="0"/>
              <w:jc w:val="left"/>
              <w:rPr>
                <w:sz w:val="22"/>
                <w:szCs w:val="22"/>
              </w:rPr>
            </w:pPr>
            <w:r w:rsidRPr="004B2796">
              <w:rPr>
                <w:sz w:val="22"/>
                <w:szCs w:val="22"/>
              </w:rPr>
              <w:t xml:space="preserve"> Single Mom</w:t>
            </w:r>
          </w:p>
        </w:tc>
        <w:tc>
          <w:tcPr>
            <w:tcW w:w="803" w:type="dxa"/>
            <w:tcBorders>
              <w:top w:val="nil"/>
              <w:left w:val="nil"/>
              <w:bottom w:val="nil"/>
            </w:tcBorders>
            <w:shd w:val="clear" w:color="auto" w:fill="auto"/>
            <w:vAlign w:val="center"/>
          </w:tcPr>
          <w:p w14:paraId="69A39C8D" w14:textId="77777777" w:rsidR="00E465D0" w:rsidRPr="004B2796" w:rsidRDefault="00E465D0" w:rsidP="00AB236A">
            <w:pPr>
              <w:spacing w:after="0"/>
              <w:jc w:val="right"/>
              <w:rPr>
                <w:sz w:val="22"/>
                <w:szCs w:val="22"/>
              </w:rPr>
            </w:pPr>
            <w:r w:rsidRPr="004B2796">
              <w:rPr>
                <w:sz w:val="22"/>
                <w:szCs w:val="22"/>
              </w:rPr>
              <w:t>57</w:t>
            </w:r>
          </w:p>
        </w:tc>
        <w:tc>
          <w:tcPr>
            <w:tcW w:w="806" w:type="dxa"/>
            <w:tcBorders>
              <w:top w:val="nil"/>
              <w:left w:val="nil"/>
              <w:bottom w:val="nil"/>
              <w:right w:val="nil"/>
            </w:tcBorders>
            <w:vAlign w:val="center"/>
          </w:tcPr>
          <w:p w14:paraId="44B9B346" w14:textId="77777777" w:rsidR="00E465D0" w:rsidRPr="004B2796" w:rsidRDefault="00E465D0" w:rsidP="00AB236A">
            <w:pPr>
              <w:spacing w:after="0"/>
              <w:jc w:val="right"/>
              <w:rPr>
                <w:sz w:val="22"/>
                <w:szCs w:val="22"/>
              </w:rPr>
            </w:pPr>
            <w:r w:rsidRPr="004B2796">
              <w:rPr>
                <w:sz w:val="22"/>
                <w:szCs w:val="22"/>
              </w:rPr>
              <w:t>3.0</w:t>
            </w:r>
          </w:p>
        </w:tc>
        <w:tc>
          <w:tcPr>
            <w:tcW w:w="810" w:type="dxa"/>
            <w:tcBorders>
              <w:top w:val="nil"/>
              <w:left w:val="nil"/>
              <w:bottom w:val="nil"/>
              <w:right w:val="double" w:sz="4" w:space="0" w:color="auto"/>
            </w:tcBorders>
            <w:shd w:val="clear" w:color="auto" w:fill="auto"/>
            <w:vAlign w:val="center"/>
          </w:tcPr>
          <w:p w14:paraId="231F6D68"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4578AF61" w14:textId="77777777" w:rsidTr="00AB236A">
        <w:trPr>
          <w:gridAfter w:val="1"/>
          <w:wAfter w:w="1178" w:type="dxa"/>
          <w:trHeight w:val="274"/>
        </w:trPr>
        <w:tc>
          <w:tcPr>
            <w:tcW w:w="3240" w:type="dxa"/>
            <w:tcBorders>
              <w:top w:val="nil"/>
              <w:left w:val="double" w:sz="6" w:space="0" w:color="auto"/>
            </w:tcBorders>
            <w:shd w:val="clear" w:color="auto" w:fill="auto"/>
            <w:noWrap/>
            <w:vAlign w:val="center"/>
          </w:tcPr>
          <w:p w14:paraId="44190FF7" w14:textId="77777777" w:rsidR="00E465D0" w:rsidRPr="004B2796" w:rsidRDefault="00E465D0" w:rsidP="00AB236A">
            <w:pPr>
              <w:spacing w:after="0"/>
              <w:jc w:val="left"/>
              <w:rPr>
                <w:sz w:val="22"/>
                <w:szCs w:val="22"/>
              </w:rPr>
            </w:pPr>
            <w:r w:rsidRPr="004B2796">
              <w:rPr>
                <w:sz w:val="22"/>
                <w:szCs w:val="22"/>
              </w:rPr>
              <w:t xml:space="preserve"> </w:t>
            </w:r>
            <w:r w:rsidRPr="004B2796">
              <w:rPr>
                <w:b/>
                <w:bCs/>
                <w:sz w:val="22"/>
                <w:szCs w:val="22"/>
              </w:rPr>
              <w:t>Race</w:t>
            </w:r>
          </w:p>
        </w:tc>
        <w:tc>
          <w:tcPr>
            <w:tcW w:w="900" w:type="dxa"/>
            <w:tcBorders>
              <w:top w:val="nil"/>
              <w:left w:val="nil"/>
              <w:right w:val="nil"/>
            </w:tcBorders>
            <w:shd w:val="clear" w:color="auto" w:fill="auto"/>
            <w:noWrap/>
            <w:vAlign w:val="center"/>
          </w:tcPr>
          <w:p w14:paraId="108643E9" w14:textId="77777777" w:rsidR="00E465D0" w:rsidRPr="004B2796" w:rsidRDefault="00E465D0" w:rsidP="00AB236A">
            <w:pPr>
              <w:spacing w:after="0"/>
              <w:jc w:val="right"/>
              <w:rPr>
                <w:sz w:val="22"/>
                <w:szCs w:val="22"/>
              </w:rPr>
            </w:pPr>
          </w:p>
        </w:tc>
        <w:tc>
          <w:tcPr>
            <w:tcW w:w="809" w:type="dxa"/>
            <w:tcBorders>
              <w:top w:val="nil"/>
              <w:left w:val="nil"/>
              <w:right w:val="nil"/>
            </w:tcBorders>
            <w:vAlign w:val="center"/>
          </w:tcPr>
          <w:p w14:paraId="09E7F892" w14:textId="77777777" w:rsidR="00E465D0" w:rsidRPr="004B2796" w:rsidRDefault="00E465D0" w:rsidP="00AB236A">
            <w:pPr>
              <w:spacing w:after="0"/>
              <w:jc w:val="right"/>
              <w:rPr>
                <w:sz w:val="22"/>
                <w:szCs w:val="22"/>
              </w:rPr>
            </w:pPr>
          </w:p>
        </w:tc>
        <w:tc>
          <w:tcPr>
            <w:tcW w:w="810" w:type="dxa"/>
            <w:tcBorders>
              <w:top w:val="nil"/>
              <w:left w:val="nil"/>
              <w:right w:val="double" w:sz="6" w:space="0" w:color="auto"/>
            </w:tcBorders>
            <w:shd w:val="clear" w:color="auto" w:fill="auto"/>
            <w:noWrap/>
            <w:vAlign w:val="center"/>
          </w:tcPr>
          <w:p w14:paraId="2337B1FD" w14:textId="77777777" w:rsidR="00E465D0" w:rsidRPr="004B2796" w:rsidRDefault="00E465D0" w:rsidP="00AB236A">
            <w:pPr>
              <w:spacing w:after="0"/>
              <w:jc w:val="right"/>
              <w:rPr>
                <w:sz w:val="22"/>
                <w:szCs w:val="22"/>
              </w:rPr>
            </w:pPr>
          </w:p>
        </w:tc>
        <w:tc>
          <w:tcPr>
            <w:tcW w:w="5051" w:type="dxa"/>
            <w:tcBorders>
              <w:top w:val="nil"/>
              <w:left w:val="nil"/>
              <w:bottom w:val="nil"/>
            </w:tcBorders>
            <w:shd w:val="clear" w:color="auto" w:fill="auto"/>
            <w:noWrap/>
            <w:vAlign w:val="center"/>
          </w:tcPr>
          <w:p w14:paraId="2AB3EC30" w14:textId="77777777" w:rsidR="00E465D0" w:rsidRPr="004B2796" w:rsidRDefault="00E465D0" w:rsidP="00AB236A">
            <w:pPr>
              <w:spacing w:after="0"/>
              <w:jc w:val="left"/>
              <w:rPr>
                <w:sz w:val="22"/>
                <w:szCs w:val="22"/>
              </w:rPr>
            </w:pPr>
            <w:r w:rsidRPr="004B2796">
              <w:rPr>
                <w:sz w:val="22"/>
                <w:szCs w:val="22"/>
              </w:rPr>
              <w:t xml:space="preserve"> Single Dad</w:t>
            </w:r>
          </w:p>
        </w:tc>
        <w:tc>
          <w:tcPr>
            <w:tcW w:w="803" w:type="dxa"/>
            <w:tcBorders>
              <w:top w:val="nil"/>
              <w:left w:val="nil"/>
              <w:bottom w:val="nil"/>
            </w:tcBorders>
            <w:shd w:val="clear" w:color="auto" w:fill="auto"/>
            <w:vAlign w:val="center"/>
          </w:tcPr>
          <w:p w14:paraId="5378A688" w14:textId="77777777" w:rsidR="00E465D0" w:rsidRPr="004B2796" w:rsidRDefault="00E465D0" w:rsidP="00AB236A">
            <w:pPr>
              <w:spacing w:after="0"/>
              <w:jc w:val="right"/>
              <w:rPr>
                <w:sz w:val="22"/>
                <w:szCs w:val="22"/>
              </w:rPr>
            </w:pPr>
            <w:r w:rsidRPr="004B2796">
              <w:rPr>
                <w:sz w:val="22"/>
                <w:szCs w:val="22"/>
              </w:rPr>
              <w:t>25</w:t>
            </w:r>
          </w:p>
        </w:tc>
        <w:tc>
          <w:tcPr>
            <w:tcW w:w="806" w:type="dxa"/>
            <w:tcBorders>
              <w:top w:val="nil"/>
              <w:left w:val="nil"/>
              <w:bottom w:val="nil"/>
              <w:right w:val="nil"/>
            </w:tcBorders>
            <w:vAlign w:val="center"/>
          </w:tcPr>
          <w:p w14:paraId="569998FB" w14:textId="77777777" w:rsidR="00E465D0" w:rsidRPr="004B2796" w:rsidRDefault="00E465D0" w:rsidP="00AB236A">
            <w:pPr>
              <w:spacing w:after="0"/>
              <w:jc w:val="right"/>
              <w:rPr>
                <w:sz w:val="22"/>
                <w:szCs w:val="22"/>
              </w:rPr>
            </w:pPr>
            <w:r w:rsidRPr="004B2796">
              <w:rPr>
                <w:sz w:val="22"/>
                <w:szCs w:val="22"/>
              </w:rPr>
              <w:t>1.3</w:t>
            </w:r>
          </w:p>
        </w:tc>
        <w:tc>
          <w:tcPr>
            <w:tcW w:w="810" w:type="dxa"/>
            <w:tcBorders>
              <w:top w:val="nil"/>
              <w:left w:val="nil"/>
              <w:bottom w:val="nil"/>
              <w:right w:val="double" w:sz="4" w:space="0" w:color="auto"/>
            </w:tcBorders>
            <w:shd w:val="clear" w:color="auto" w:fill="auto"/>
            <w:vAlign w:val="center"/>
          </w:tcPr>
          <w:p w14:paraId="5D8EAC66"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0C777274" w14:textId="77777777" w:rsidTr="00AB236A">
        <w:trPr>
          <w:gridAfter w:val="1"/>
          <w:wAfter w:w="1178" w:type="dxa"/>
          <w:trHeight w:val="274"/>
        </w:trPr>
        <w:tc>
          <w:tcPr>
            <w:tcW w:w="3240" w:type="dxa"/>
            <w:tcBorders>
              <w:top w:val="nil"/>
              <w:left w:val="double" w:sz="6" w:space="0" w:color="auto"/>
            </w:tcBorders>
            <w:shd w:val="clear" w:color="auto" w:fill="auto"/>
            <w:noWrap/>
            <w:vAlign w:val="center"/>
          </w:tcPr>
          <w:p w14:paraId="41ECEC69" w14:textId="77777777" w:rsidR="00E465D0" w:rsidRPr="004B2796" w:rsidRDefault="00E465D0" w:rsidP="00AB236A">
            <w:pPr>
              <w:spacing w:after="0"/>
              <w:jc w:val="left"/>
              <w:rPr>
                <w:sz w:val="22"/>
                <w:szCs w:val="22"/>
              </w:rPr>
            </w:pPr>
            <w:r w:rsidRPr="004B2796">
              <w:rPr>
                <w:sz w:val="22"/>
                <w:szCs w:val="22"/>
              </w:rPr>
              <w:t xml:space="preserve"> White</w:t>
            </w:r>
          </w:p>
        </w:tc>
        <w:tc>
          <w:tcPr>
            <w:tcW w:w="900" w:type="dxa"/>
            <w:tcBorders>
              <w:top w:val="nil"/>
              <w:left w:val="nil"/>
              <w:right w:val="nil"/>
            </w:tcBorders>
            <w:shd w:val="clear" w:color="auto" w:fill="auto"/>
            <w:noWrap/>
            <w:vAlign w:val="center"/>
          </w:tcPr>
          <w:p w14:paraId="39365F9F" w14:textId="77777777" w:rsidR="00E465D0" w:rsidRPr="004B2796" w:rsidRDefault="00E465D0" w:rsidP="00AB236A">
            <w:pPr>
              <w:spacing w:after="0"/>
              <w:jc w:val="right"/>
              <w:rPr>
                <w:sz w:val="22"/>
                <w:szCs w:val="22"/>
              </w:rPr>
            </w:pPr>
            <w:r w:rsidRPr="004B2796">
              <w:rPr>
                <w:sz w:val="22"/>
                <w:szCs w:val="22"/>
              </w:rPr>
              <w:t>1655</w:t>
            </w:r>
          </w:p>
        </w:tc>
        <w:tc>
          <w:tcPr>
            <w:tcW w:w="809" w:type="dxa"/>
            <w:tcBorders>
              <w:top w:val="nil"/>
              <w:left w:val="nil"/>
              <w:right w:val="nil"/>
            </w:tcBorders>
            <w:vAlign w:val="center"/>
          </w:tcPr>
          <w:p w14:paraId="75FF2AAE" w14:textId="77777777" w:rsidR="00E465D0" w:rsidRPr="004B2796" w:rsidRDefault="00E465D0" w:rsidP="00AB236A">
            <w:pPr>
              <w:spacing w:after="0"/>
              <w:jc w:val="right"/>
              <w:rPr>
                <w:sz w:val="22"/>
                <w:szCs w:val="22"/>
              </w:rPr>
            </w:pPr>
            <w:r w:rsidRPr="004B2796">
              <w:rPr>
                <w:sz w:val="22"/>
                <w:szCs w:val="22"/>
              </w:rPr>
              <w:t>86.2</w:t>
            </w:r>
          </w:p>
        </w:tc>
        <w:tc>
          <w:tcPr>
            <w:tcW w:w="810" w:type="dxa"/>
            <w:tcBorders>
              <w:top w:val="nil"/>
              <w:left w:val="nil"/>
              <w:right w:val="double" w:sz="6" w:space="0" w:color="auto"/>
            </w:tcBorders>
            <w:shd w:val="clear" w:color="auto" w:fill="auto"/>
            <w:noWrap/>
            <w:vAlign w:val="center"/>
          </w:tcPr>
          <w:p w14:paraId="59153FD5"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nil"/>
              <w:bottom w:val="nil"/>
            </w:tcBorders>
            <w:shd w:val="clear" w:color="auto" w:fill="auto"/>
            <w:noWrap/>
            <w:vAlign w:val="center"/>
          </w:tcPr>
          <w:p w14:paraId="1F3EBA81" w14:textId="77777777" w:rsidR="00E465D0" w:rsidRPr="004B2796" w:rsidRDefault="00E465D0" w:rsidP="00AB236A">
            <w:pPr>
              <w:spacing w:after="0"/>
              <w:jc w:val="left"/>
              <w:rPr>
                <w:sz w:val="22"/>
                <w:szCs w:val="22"/>
              </w:rPr>
            </w:pPr>
            <w:r w:rsidRPr="004B2796">
              <w:rPr>
                <w:sz w:val="22"/>
                <w:szCs w:val="22"/>
              </w:rPr>
              <w:t xml:space="preserve"> Lives with partner and has kids</w:t>
            </w:r>
          </w:p>
        </w:tc>
        <w:tc>
          <w:tcPr>
            <w:tcW w:w="803" w:type="dxa"/>
            <w:tcBorders>
              <w:top w:val="nil"/>
              <w:left w:val="nil"/>
              <w:bottom w:val="nil"/>
            </w:tcBorders>
            <w:shd w:val="clear" w:color="auto" w:fill="auto"/>
            <w:vAlign w:val="center"/>
          </w:tcPr>
          <w:p w14:paraId="44859E76" w14:textId="77777777" w:rsidR="00E465D0" w:rsidRPr="004B2796" w:rsidRDefault="00E465D0" w:rsidP="00AB236A">
            <w:pPr>
              <w:spacing w:after="0"/>
              <w:jc w:val="right"/>
              <w:rPr>
                <w:sz w:val="22"/>
                <w:szCs w:val="22"/>
              </w:rPr>
            </w:pPr>
            <w:r w:rsidRPr="004B2796">
              <w:rPr>
                <w:sz w:val="22"/>
                <w:szCs w:val="22"/>
              </w:rPr>
              <w:t>431</w:t>
            </w:r>
          </w:p>
        </w:tc>
        <w:tc>
          <w:tcPr>
            <w:tcW w:w="806" w:type="dxa"/>
            <w:tcBorders>
              <w:top w:val="nil"/>
              <w:left w:val="nil"/>
              <w:bottom w:val="nil"/>
              <w:right w:val="nil"/>
            </w:tcBorders>
            <w:vAlign w:val="center"/>
          </w:tcPr>
          <w:p w14:paraId="551CE62A" w14:textId="77777777" w:rsidR="00E465D0" w:rsidRPr="004B2796" w:rsidRDefault="00E465D0" w:rsidP="00AB236A">
            <w:pPr>
              <w:spacing w:after="0"/>
              <w:jc w:val="right"/>
              <w:rPr>
                <w:sz w:val="22"/>
                <w:szCs w:val="22"/>
              </w:rPr>
            </w:pPr>
            <w:r w:rsidRPr="004B2796">
              <w:rPr>
                <w:sz w:val="22"/>
                <w:szCs w:val="22"/>
              </w:rPr>
              <w:t>22.4</w:t>
            </w:r>
          </w:p>
        </w:tc>
        <w:tc>
          <w:tcPr>
            <w:tcW w:w="810" w:type="dxa"/>
            <w:tcBorders>
              <w:top w:val="nil"/>
              <w:left w:val="nil"/>
              <w:bottom w:val="nil"/>
              <w:right w:val="double" w:sz="4" w:space="0" w:color="auto"/>
            </w:tcBorders>
            <w:shd w:val="clear" w:color="auto" w:fill="auto"/>
            <w:vAlign w:val="center"/>
          </w:tcPr>
          <w:p w14:paraId="50B6B62B"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67431C7D" w14:textId="77777777" w:rsidTr="00AB236A">
        <w:trPr>
          <w:gridAfter w:val="1"/>
          <w:wAfter w:w="1178" w:type="dxa"/>
          <w:trHeight w:val="274"/>
        </w:trPr>
        <w:tc>
          <w:tcPr>
            <w:tcW w:w="3240" w:type="dxa"/>
            <w:tcBorders>
              <w:top w:val="nil"/>
              <w:left w:val="double" w:sz="6" w:space="0" w:color="auto"/>
            </w:tcBorders>
            <w:shd w:val="clear" w:color="auto" w:fill="auto"/>
            <w:noWrap/>
            <w:vAlign w:val="center"/>
          </w:tcPr>
          <w:p w14:paraId="5D6E9605" w14:textId="77777777" w:rsidR="00E465D0" w:rsidRPr="004B2796" w:rsidRDefault="00E465D0" w:rsidP="00AB236A">
            <w:pPr>
              <w:spacing w:after="0"/>
              <w:jc w:val="left"/>
              <w:rPr>
                <w:sz w:val="22"/>
                <w:szCs w:val="22"/>
              </w:rPr>
            </w:pPr>
            <w:r w:rsidRPr="004B2796">
              <w:rPr>
                <w:sz w:val="22"/>
                <w:szCs w:val="22"/>
              </w:rPr>
              <w:t xml:space="preserve"> Black</w:t>
            </w:r>
          </w:p>
        </w:tc>
        <w:tc>
          <w:tcPr>
            <w:tcW w:w="900" w:type="dxa"/>
            <w:tcBorders>
              <w:top w:val="nil"/>
              <w:left w:val="nil"/>
              <w:right w:val="nil"/>
            </w:tcBorders>
            <w:shd w:val="clear" w:color="auto" w:fill="auto"/>
            <w:noWrap/>
            <w:vAlign w:val="center"/>
          </w:tcPr>
          <w:p w14:paraId="767E1B66" w14:textId="77777777" w:rsidR="00E465D0" w:rsidRPr="004B2796" w:rsidRDefault="00E465D0" w:rsidP="00AB236A">
            <w:pPr>
              <w:spacing w:after="0"/>
              <w:jc w:val="right"/>
              <w:rPr>
                <w:sz w:val="22"/>
                <w:szCs w:val="22"/>
              </w:rPr>
            </w:pPr>
            <w:r w:rsidRPr="004B2796">
              <w:rPr>
                <w:sz w:val="22"/>
                <w:szCs w:val="22"/>
              </w:rPr>
              <w:t>71</w:t>
            </w:r>
          </w:p>
        </w:tc>
        <w:tc>
          <w:tcPr>
            <w:tcW w:w="809" w:type="dxa"/>
            <w:tcBorders>
              <w:top w:val="nil"/>
              <w:left w:val="nil"/>
              <w:right w:val="nil"/>
            </w:tcBorders>
            <w:vAlign w:val="center"/>
          </w:tcPr>
          <w:p w14:paraId="5EEE133C" w14:textId="77777777" w:rsidR="00E465D0" w:rsidRPr="004B2796" w:rsidRDefault="00E465D0" w:rsidP="00AB236A">
            <w:pPr>
              <w:spacing w:after="0"/>
              <w:jc w:val="right"/>
              <w:rPr>
                <w:sz w:val="22"/>
                <w:szCs w:val="22"/>
              </w:rPr>
            </w:pPr>
            <w:r w:rsidRPr="004B2796">
              <w:rPr>
                <w:sz w:val="22"/>
                <w:szCs w:val="22"/>
              </w:rPr>
              <w:t>3.7</w:t>
            </w:r>
          </w:p>
        </w:tc>
        <w:tc>
          <w:tcPr>
            <w:tcW w:w="810" w:type="dxa"/>
            <w:tcBorders>
              <w:top w:val="nil"/>
              <w:left w:val="nil"/>
              <w:right w:val="double" w:sz="6" w:space="0" w:color="auto"/>
            </w:tcBorders>
            <w:shd w:val="clear" w:color="auto" w:fill="auto"/>
            <w:noWrap/>
            <w:vAlign w:val="center"/>
          </w:tcPr>
          <w:p w14:paraId="6E64D650"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nil"/>
              <w:bottom w:val="nil"/>
            </w:tcBorders>
            <w:shd w:val="clear" w:color="auto" w:fill="auto"/>
            <w:noWrap/>
            <w:vAlign w:val="center"/>
          </w:tcPr>
          <w:p w14:paraId="2D7E9C05" w14:textId="77777777" w:rsidR="00E465D0" w:rsidRPr="004B2796" w:rsidRDefault="00E465D0" w:rsidP="00AB236A">
            <w:pPr>
              <w:spacing w:after="0"/>
              <w:jc w:val="left"/>
              <w:rPr>
                <w:sz w:val="22"/>
                <w:szCs w:val="22"/>
              </w:rPr>
            </w:pPr>
            <w:r w:rsidRPr="004B2796">
              <w:rPr>
                <w:sz w:val="22"/>
                <w:szCs w:val="22"/>
              </w:rPr>
              <w:t xml:space="preserve"> Female and has a kid</w:t>
            </w:r>
          </w:p>
        </w:tc>
        <w:tc>
          <w:tcPr>
            <w:tcW w:w="803" w:type="dxa"/>
            <w:tcBorders>
              <w:top w:val="nil"/>
              <w:left w:val="nil"/>
              <w:bottom w:val="nil"/>
            </w:tcBorders>
            <w:shd w:val="clear" w:color="auto" w:fill="auto"/>
            <w:vAlign w:val="center"/>
          </w:tcPr>
          <w:p w14:paraId="6D344774" w14:textId="77777777" w:rsidR="00E465D0" w:rsidRPr="004B2796" w:rsidRDefault="00E465D0" w:rsidP="00AB236A">
            <w:pPr>
              <w:spacing w:after="0"/>
              <w:jc w:val="right"/>
              <w:rPr>
                <w:sz w:val="22"/>
                <w:szCs w:val="22"/>
              </w:rPr>
            </w:pPr>
            <w:r w:rsidRPr="004B2796">
              <w:rPr>
                <w:sz w:val="22"/>
                <w:szCs w:val="22"/>
              </w:rPr>
              <w:t>236</w:t>
            </w:r>
          </w:p>
        </w:tc>
        <w:tc>
          <w:tcPr>
            <w:tcW w:w="806" w:type="dxa"/>
            <w:tcBorders>
              <w:top w:val="nil"/>
              <w:left w:val="nil"/>
              <w:bottom w:val="nil"/>
              <w:right w:val="nil"/>
            </w:tcBorders>
            <w:vAlign w:val="center"/>
          </w:tcPr>
          <w:p w14:paraId="09A60C9A" w14:textId="77777777" w:rsidR="00E465D0" w:rsidRPr="004B2796" w:rsidRDefault="00E465D0" w:rsidP="00AB236A">
            <w:pPr>
              <w:spacing w:after="0"/>
              <w:jc w:val="right"/>
              <w:rPr>
                <w:sz w:val="22"/>
                <w:szCs w:val="22"/>
              </w:rPr>
            </w:pPr>
            <w:r w:rsidRPr="004B2796">
              <w:rPr>
                <w:sz w:val="22"/>
                <w:szCs w:val="22"/>
              </w:rPr>
              <w:t>12.3</w:t>
            </w:r>
          </w:p>
        </w:tc>
        <w:tc>
          <w:tcPr>
            <w:tcW w:w="810" w:type="dxa"/>
            <w:tcBorders>
              <w:top w:val="nil"/>
              <w:left w:val="nil"/>
              <w:bottom w:val="nil"/>
              <w:right w:val="double" w:sz="4" w:space="0" w:color="auto"/>
            </w:tcBorders>
            <w:shd w:val="clear" w:color="auto" w:fill="auto"/>
            <w:vAlign w:val="center"/>
          </w:tcPr>
          <w:p w14:paraId="423E334E" w14:textId="77777777" w:rsidR="00E465D0" w:rsidRPr="004B2796" w:rsidRDefault="00E465D0" w:rsidP="00AB236A">
            <w:pPr>
              <w:spacing w:after="0"/>
              <w:jc w:val="right"/>
              <w:rPr>
                <w:sz w:val="22"/>
                <w:szCs w:val="22"/>
              </w:rPr>
            </w:pPr>
          </w:p>
        </w:tc>
      </w:tr>
      <w:tr w:rsidR="00E465D0" w:rsidRPr="004B2796" w14:paraId="43A6BA2C" w14:textId="77777777" w:rsidTr="00AB236A">
        <w:trPr>
          <w:gridAfter w:val="1"/>
          <w:wAfter w:w="1178" w:type="dxa"/>
          <w:trHeight w:val="274"/>
        </w:trPr>
        <w:tc>
          <w:tcPr>
            <w:tcW w:w="3240" w:type="dxa"/>
            <w:tcBorders>
              <w:top w:val="nil"/>
              <w:left w:val="double" w:sz="6" w:space="0" w:color="auto"/>
            </w:tcBorders>
            <w:shd w:val="clear" w:color="auto" w:fill="auto"/>
            <w:noWrap/>
            <w:vAlign w:val="center"/>
          </w:tcPr>
          <w:p w14:paraId="14A8C97F" w14:textId="77777777" w:rsidR="00E465D0" w:rsidRPr="004B2796" w:rsidRDefault="00E465D0" w:rsidP="00AB236A">
            <w:pPr>
              <w:spacing w:after="0"/>
              <w:jc w:val="left"/>
              <w:rPr>
                <w:sz w:val="22"/>
                <w:szCs w:val="22"/>
              </w:rPr>
            </w:pPr>
            <w:r w:rsidRPr="004B2796">
              <w:rPr>
                <w:sz w:val="22"/>
                <w:szCs w:val="22"/>
              </w:rPr>
              <w:t xml:space="preserve"> Neither White or Black</w:t>
            </w:r>
          </w:p>
        </w:tc>
        <w:tc>
          <w:tcPr>
            <w:tcW w:w="900" w:type="dxa"/>
            <w:tcBorders>
              <w:top w:val="nil"/>
              <w:left w:val="nil"/>
              <w:right w:val="nil"/>
            </w:tcBorders>
            <w:shd w:val="clear" w:color="auto" w:fill="auto"/>
            <w:noWrap/>
            <w:vAlign w:val="center"/>
          </w:tcPr>
          <w:p w14:paraId="2A46B7B3" w14:textId="77777777" w:rsidR="00E465D0" w:rsidRPr="004B2796" w:rsidRDefault="00E465D0" w:rsidP="00AB236A">
            <w:pPr>
              <w:spacing w:after="0"/>
              <w:jc w:val="right"/>
              <w:rPr>
                <w:sz w:val="22"/>
                <w:szCs w:val="22"/>
              </w:rPr>
            </w:pPr>
            <w:r w:rsidRPr="004B2796">
              <w:rPr>
                <w:sz w:val="22"/>
                <w:szCs w:val="22"/>
              </w:rPr>
              <w:t>194</w:t>
            </w:r>
          </w:p>
        </w:tc>
        <w:tc>
          <w:tcPr>
            <w:tcW w:w="809" w:type="dxa"/>
            <w:tcBorders>
              <w:top w:val="nil"/>
              <w:left w:val="nil"/>
              <w:right w:val="nil"/>
            </w:tcBorders>
            <w:vAlign w:val="center"/>
          </w:tcPr>
          <w:p w14:paraId="76020818" w14:textId="77777777" w:rsidR="00E465D0" w:rsidRPr="004B2796" w:rsidRDefault="00E465D0" w:rsidP="00AB236A">
            <w:pPr>
              <w:spacing w:after="0"/>
              <w:jc w:val="right"/>
              <w:rPr>
                <w:sz w:val="22"/>
                <w:szCs w:val="22"/>
              </w:rPr>
            </w:pPr>
            <w:r w:rsidRPr="004B2796">
              <w:rPr>
                <w:sz w:val="22"/>
                <w:szCs w:val="22"/>
              </w:rPr>
              <w:t>10.1</w:t>
            </w:r>
          </w:p>
        </w:tc>
        <w:tc>
          <w:tcPr>
            <w:tcW w:w="810" w:type="dxa"/>
            <w:tcBorders>
              <w:top w:val="nil"/>
              <w:left w:val="nil"/>
              <w:right w:val="double" w:sz="6" w:space="0" w:color="auto"/>
            </w:tcBorders>
            <w:shd w:val="clear" w:color="auto" w:fill="auto"/>
            <w:noWrap/>
            <w:vAlign w:val="center"/>
          </w:tcPr>
          <w:p w14:paraId="46FD7828"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nil"/>
              <w:bottom w:val="nil"/>
            </w:tcBorders>
            <w:shd w:val="clear" w:color="auto" w:fill="auto"/>
            <w:noWrap/>
            <w:vAlign w:val="center"/>
          </w:tcPr>
          <w:p w14:paraId="04F75EB1" w14:textId="77777777" w:rsidR="00E465D0" w:rsidRPr="004B2796" w:rsidRDefault="00E465D0" w:rsidP="00AB236A">
            <w:pPr>
              <w:spacing w:after="0"/>
              <w:jc w:val="left"/>
              <w:rPr>
                <w:sz w:val="22"/>
                <w:szCs w:val="22"/>
              </w:rPr>
            </w:pPr>
            <w:r w:rsidRPr="004B2796">
              <w:rPr>
                <w:b/>
                <w:bCs/>
                <w:sz w:val="22"/>
                <w:szCs w:val="22"/>
              </w:rPr>
              <w:t xml:space="preserve"> Household Annual Income</w:t>
            </w:r>
          </w:p>
        </w:tc>
        <w:tc>
          <w:tcPr>
            <w:tcW w:w="803" w:type="dxa"/>
            <w:tcBorders>
              <w:top w:val="nil"/>
              <w:left w:val="nil"/>
              <w:bottom w:val="nil"/>
            </w:tcBorders>
            <w:shd w:val="clear" w:color="auto" w:fill="auto"/>
            <w:vAlign w:val="center"/>
          </w:tcPr>
          <w:p w14:paraId="20F85CB5" w14:textId="77777777" w:rsidR="00E465D0" w:rsidRPr="004B2796" w:rsidRDefault="00E465D0" w:rsidP="00302827">
            <w:pPr>
              <w:spacing w:after="0"/>
              <w:jc w:val="right"/>
              <w:rPr>
                <w:sz w:val="22"/>
                <w:szCs w:val="22"/>
              </w:rPr>
            </w:pPr>
          </w:p>
        </w:tc>
        <w:tc>
          <w:tcPr>
            <w:tcW w:w="806" w:type="dxa"/>
            <w:tcBorders>
              <w:top w:val="nil"/>
              <w:left w:val="nil"/>
              <w:bottom w:val="nil"/>
              <w:right w:val="nil"/>
            </w:tcBorders>
            <w:vAlign w:val="center"/>
          </w:tcPr>
          <w:p w14:paraId="73094C44" w14:textId="77777777" w:rsidR="00E465D0" w:rsidRPr="004B2796" w:rsidRDefault="00E465D0" w:rsidP="00302827">
            <w:pPr>
              <w:spacing w:after="0"/>
              <w:jc w:val="right"/>
              <w:rPr>
                <w:sz w:val="22"/>
                <w:szCs w:val="22"/>
              </w:rPr>
            </w:pPr>
          </w:p>
        </w:tc>
        <w:tc>
          <w:tcPr>
            <w:tcW w:w="810" w:type="dxa"/>
            <w:tcBorders>
              <w:top w:val="nil"/>
              <w:left w:val="nil"/>
              <w:bottom w:val="nil"/>
              <w:right w:val="double" w:sz="4" w:space="0" w:color="auto"/>
            </w:tcBorders>
            <w:shd w:val="clear" w:color="auto" w:fill="auto"/>
            <w:vAlign w:val="center"/>
          </w:tcPr>
          <w:p w14:paraId="46BFB59A" w14:textId="77777777" w:rsidR="00E465D0" w:rsidRPr="004B2796" w:rsidRDefault="00E465D0" w:rsidP="00302827">
            <w:pPr>
              <w:spacing w:after="0"/>
              <w:jc w:val="right"/>
              <w:rPr>
                <w:sz w:val="22"/>
                <w:szCs w:val="22"/>
              </w:rPr>
            </w:pPr>
          </w:p>
        </w:tc>
      </w:tr>
      <w:tr w:rsidR="00E465D0" w:rsidRPr="004B2796" w14:paraId="518E7D70" w14:textId="77777777" w:rsidTr="00AB236A">
        <w:trPr>
          <w:gridAfter w:val="1"/>
          <w:wAfter w:w="1178" w:type="dxa"/>
          <w:trHeight w:val="274"/>
        </w:trPr>
        <w:tc>
          <w:tcPr>
            <w:tcW w:w="3240" w:type="dxa"/>
            <w:tcBorders>
              <w:left w:val="double" w:sz="6" w:space="0" w:color="auto"/>
              <w:bottom w:val="nil"/>
            </w:tcBorders>
            <w:shd w:val="clear" w:color="auto" w:fill="auto"/>
            <w:noWrap/>
            <w:vAlign w:val="center"/>
            <w:hideMark/>
          </w:tcPr>
          <w:p w14:paraId="6E411308" w14:textId="77777777" w:rsidR="00E465D0" w:rsidRPr="004B2796" w:rsidRDefault="00E465D0" w:rsidP="00AB236A">
            <w:pPr>
              <w:spacing w:after="0"/>
              <w:jc w:val="left"/>
              <w:rPr>
                <w:rFonts w:eastAsia="Times New Roman"/>
                <w:b/>
                <w:bCs/>
                <w:sz w:val="22"/>
                <w:szCs w:val="22"/>
              </w:rPr>
            </w:pPr>
            <w:r w:rsidRPr="004B2796">
              <w:rPr>
                <w:b/>
                <w:bCs/>
                <w:sz w:val="22"/>
                <w:szCs w:val="22"/>
              </w:rPr>
              <w:t xml:space="preserve"> Formal Education Level </w:t>
            </w:r>
          </w:p>
        </w:tc>
        <w:tc>
          <w:tcPr>
            <w:tcW w:w="900" w:type="dxa"/>
            <w:tcBorders>
              <w:left w:val="nil"/>
              <w:bottom w:val="nil"/>
              <w:right w:val="nil"/>
            </w:tcBorders>
            <w:shd w:val="clear" w:color="auto" w:fill="auto"/>
            <w:vAlign w:val="center"/>
          </w:tcPr>
          <w:p w14:paraId="51840D12" w14:textId="77777777" w:rsidR="00E465D0" w:rsidRPr="004B2796" w:rsidRDefault="00E465D0" w:rsidP="00AB236A">
            <w:pPr>
              <w:spacing w:after="0"/>
              <w:jc w:val="right"/>
              <w:rPr>
                <w:sz w:val="22"/>
                <w:szCs w:val="22"/>
              </w:rPr>
            </w:pPr>
          </w:p>
        </w:tc>
        <w:tc>
          <w:tcPr>
            <w:tcW w:w="809" w:type="dxa"/>
            <w:tcBorders>
              <w:left w:val="nil"/>
              <w:bottom w:val="nil"/>
              <w:right w:val="nil"/>
            </w:tcBorders>
            <w:vAlign w:val="center"/>
          </w:tcPr>
          <w:p w14:paraId="51F64C6C" w14:textId="77777777" w:rsidR="00E465D0" w:rsidRPr="004B2796" w:rsidRDefault="00E465D0" w:rsidP="00AB236A">
            <w:pPr>
              <w:spacing w:after="0"/>
              <w:jc w:val="right"/>
              <w:rPr>
                <w:sz w:val="22"/>
                <w:szCs w:val="22"/>
              </w:rPr>
            </w:pPr>
          </w:p>
        </w:tc>
        <w:tc>
          <w:tcPr>
            <w:tcW w:w="810" w:type="dxa"/>
            <w:tcBorders>
              <w:left w:val="nil"/>
              <w:bottom w:val="nil"/>
              <w:right w:val="double" w:sz="6" w:space="0" w:color="auto"/>
            </w:tcBorders>
            <w:shd w:val="clear" w:color="auto" w:fill="auto"/>
            <w:noWrap/>
            <w:vAlign w:val="center"/>
          </w:tcPr>
          <w:p w14:paraId="70DE9FC0" w14:textId="77777777" w:rsidR="00E465D0" w:rsidRPr="004B2796" w:rsidRDefault="00E465D0" w:rsidP="00AB236A">
            <w:pPr>
              <w:spacing w:after="0"/>
              <w:jc w:val="right"/>
              <w:rPr>
                <w:sz w:val="22"/>
                <w:szCs w:val="22"/>
              </w:rPr>
            </w:pPr>
          </w:p>
        </w:tc>
        <w:tc>
          <w:tcPr>
            <w:tcW w:w="5051" w:type="dxa"/>
            <w:tcBorders>
              <w:left w:val="nil"/>
              <w:right w:val="nil"/>
            </w:tcBorders>
            <w:shd w:val="clear" w:color="auto" w:fill="auto"/>
            <w:noWrap/>
            <w:vAlign w:val="center"/>
          </w:tcPr>
          <w:p w14:paraId="27A384C2" w14:textId="77777777" w:rsidR="00E465D0" w:rsidRPr="004B2796" w:rsidRDefault="00E465D0" w:rsidP="00AB236A">
            <w:pPr>
              <w:spacing w:after="0"/>
              <w:jc w:val="left"/>
              <w:rPr>
                <w:sz w:val="22"/>
                <w:szCs w:val="22"/>
              </w:rPr>
            </w:pPr>
            <w:r w:rsidRPr="004B2796">
              <w:rPr>
                <w:sz w:val="22"/>
                <w:szCs w:val="22"/>
              </w:rPr>
              <w:t xml:space="preserve"> Less than $25,000</w:t>
            </w:r>
          </w:p>
        </w:tc>
        <w:tc>
          <w:tcPr>
            <w:tcW w:w="803" w:type="dxa"/>
            <w:tcBorders>
              <w:top w:val="nil"/>
              <w:left w:val="nil"/>
              <w:right w:val="nil"/>
            </w:tcBorders>
            <w:shd w:val="clear" w:color="auto" w:fill="auto"/>
            <w:noWrap/>
            <w:vAlign w:val="center"/>
          </w:tcPr>
          <w:p w14:paraId="4728D1A1" w14:textId="77777777" w:rsidR="00E465D0" w:rsidRPr="004B2796" w:rsidRDefault="00E465D0" w:rsidP="00AB236A">
            <w:pPr>
              <w:spacing w:after="0"/>
              <w:jc w:val="right"/>
              <w:rPr>
                <w:sz w:val="22"/>
                <w:szCs w:val="22"/>
              </w:rPr>
            </w:pPr>
            <w:r w:rsidRPr="004B2796">
              <w:rPr>
                <w:color w:val="000000"/>
                <w:sz w:val="22"/>
                <w:szCs w:val="22"/>
              </w:rPr>
              <w:t>84</w:t>
            </w:r>
          </w:p>
        </w:tc>
        <w:tc>
          <w:tcPr>
            <w:tcW w:w="806" w:type="dxa"/>
            <w:tcBorders>
              <w:top w:val="nil"/>
              <w:left w:val="nil"/>
              <w:right w:val="nil"/>
            </w:tcBorders>
            <w:vAlign w:val="center"/>
          </w:tcPr>
          <w:p w14:paraId="03FEEE73" w14:textId="77777777" w:rsidR="00E465D0" w:rsidRPr="004B2796" w:rsidRDefault="00E465D0" w:rsidP="00AB236A">
            <w:pPr>
              <w:spacing w:after="0"/>
              <w:jc w:val="right"/>
              <w:rPr>
                <w:sz w:val="22"/>
                <w:szCs w:val="22"/>
              </w:rPr>
            </w:pPr>
            <w:r w:rsidRPr="004B2796">
              <w:rPr>
                <w:color w:val="000000"/>
                <w:sz w:val="22"/>
                <w:szCs w:val="22"/>
              </w:rPr>
              <w:t>4.4</w:t>
            </w:r>
          </w:p>
        </w:tc>
        <w:tc>
          <w:tcPr>
            <w:tcW w:w="810" w:type="dxa"/>
            <w:tcBorders>
              <w:top w:val="nil"/>
              <w:left w:val="nil"/>
              <w:right w:val="double" w:sz="4" w:space="0" w:color="auto"/>
            </w:tcBorders>
            <w:shd w:val="clear" w:color="auto" w:fill="auto"/>
            <w:noWrap/>
            <w:vAlign w:val="center"/>
          </w:tcPr>
          <w:p w14:paraId="660E66E6" w14:textId="77777777" w:rsidR="00E465D0" w:rsidRPr="004B2796" w:rsidRDefault="00E465D0" w:rsidP="00AB236A">
            <w:pPr>
              <w:spacing w:after="0"/>
              <w:jc w:val="right"/>
              <w:rPr>
                <w:sz w:val="22"/>
                <w:szCs w:val="22"/>
              </w:rPr>
            </w:pPr>
            <w:r w:rsidRPr="004B2796">
              <w:rPr>
                <w:sz w:val="22"/>
                <w:szCs w:val="22"/>
              </w:rPr>
              <w:t>18.3</w:t>
            </w:r>
          </w:p>
        </w:tc>
      </w:tr>
      <w:tr w:rsidR="00E465D0" w:rsidRPr="004B2796" w14:paraId="59F57BE9" w14:textId="77777777" w:rsidTr="00AB236A">
        <w:trPr>
          <w:gridAfter w:val="1"/>
          <w:wAfter w:w="1178" w:type="dxa"/>
          <w:trHeight w:val="274"/>
        </w:trPr>
        <w:tc>
          <w:tcPr>
            <w:tcW w:w="3240" w:type="dxa"/>
            <w:tcBorders>
              <w:left w:val="double" w:sz="6" w:space="0" w:color="auto"/>
              <w:bottom w:val="nil"/>
            </w:tcBorders>
            <w:shd w:val="clear" w:color="auto" w:fill="auto"/>
            <w:noWrap/>
            <w:vAlign w:val="center"/>
          </w:tcPr>
          <w:p w14:paraId="626F2380" w14:textId="77777777" w:rsidR="00E465D0" w:rsidRPr="004B2796" w:rsidRDefault="00E465D0" w:rsidP="00AB236A">
            <w:pPr>
              <w:spacing w:after="0"/>
              <w:jc w:val="left"/>
              <w:rPr>
                <w:rFonts w:eastAsia="Times New Roman"/>
                <w:i/>
                <w:iCs/>
                <w:sz w:val="22"/>
                <w:szCs w:val="22"/>
              </w:rPr>
            </w:pPr>
            <w:r w:rsidRPr="004B2796">
              <w:rPr>
                <w:sz w:val="22"/>
                <w:szCs w:val="22"/>
              </w:rPr>
              <w:t xml:space="preserve"> Less than a Bachelor’s degree</w:t>
            </w:r>
          </w:p>
        </w:tc>
        <w:tc>
          <w:tcPr>
            <w:tcW w:w="900" w:type="dxa"/>
            <w:tcBorders>
              <w:left w:val="nil"/>
              <w:bottom w:val="nil"/>
              <w:right w:val="nil"/>
            </w:tcBorders>
            <w:shd w:val="clear" w:color="auto" w:fill="auto"/>
            <w:vAlign w:val="center"/>
          </w:tcPr>
          <w:p w14:paraId="5CB1E254" w14:textId="77777777" w:rsidR="00E465D0" w:rsidRPr="004B2796" w:rsidRDefault="00E465D0" w:rsidP="00AB236A">
            <w:pPr>
              <w:spacing w:after="0"/>
              <w:jc w:val="right"/>
              <w:rPr>
                <w:rFonts w:eastAsia="Times New Roman"/>
                <w:sz w:val="22"/>
                <w:szCs w:val="22"/>
              </w:rPr>
            </w:pPr>
            <w:r w:rsidRPr="004B2796">
              <w:rPr>
                <w:sz w:val="22"/>
                <w:szCs w:val="22"/>
              </w:rPr>
              <w:t>564</w:t>
            </w:r>
          </w:p>
        </w:tc>
        <w:tc>
          <w:tcPr>
            <w:tcW w:w="809" w:type="dxa"/>
            <w:tcBorders>
              <w:left w:val="nil"/>
              <w:bottom w:val="nil"/>
              <w:right w:val="nil"/>
            </w:tcBorders>
            <w:vAlign w:val="center"/>
          </w:tcPr>
          <w:p w14:paraId="2F44A1E2" w14:textId="77777777" w:rsidR="00E465D0" w:rsidRPr="004B2796" w:rsidRDefault="00E465D0" w:rsidP="00AB236A">
            <w:pPr>
              <w:spacing w:after="0"/>
              <w:jc w:val="right"/>
              <w:rPr>
                <w:rFonts w:eastAsia="Times New Roman"/>
                <w:sz w:val="22"/>
                <w:szCs w:val="22"/>
              </w:rPr>
            </w:pPr>
            <w:r w:rsidRPr="004B2796">
              <w:rPr>
                <w:sz w:val="22"/>
                <w:szCs w:val="22"/>
              </w:rPr>
              <w:t>29.4</w:t>
            </w:r>
          </w:p>
        </w:tc>
        <w:tc>
          <w:tcPr>
            <w:tcW w:w="810" w:type="dxa"/>
            <w:tcBorders>
              <w:left w:val="nil"/>
              <w:bottom w:val="nil"/>
              <w:right w:val="double" w:sz="6" w:space="0" w:color="auto"/>
            </w:tcBorders>
            <w:shd w:val="clear" w:color="auto" w:fill="auto"/>
            <w:noWrap/>
            <w:vAlign w:val="center"/>
          </w:tcPr>
          <w:p w14:paraId="77032E1E" w14:textId="77777777" w:rsidR="00E465D0" w:rsidRPr="004B2796" w:rsidRDefault="00E465D0" w:rsidP="00AB236A">
            <w:pPr>
              <w:spacing w:after="0"/>
              <w:jc w:val="right"/>
              <w:rPr>
                <w:sz w:val="22"/>
                <w:szCs w:val="22"/>
              </w:rPr>
            </w:pPr>
            <w:r w:rsidRPr="004B2796">
              <w:rPr>
                <w:sz w:val="22"/>
                <w:szCs w:val="22"/>
              </w:rPr>
              <w:t>--</w:t>
            </w:r>
          </w:p>
        </w:tc>
        <w:tc>
          <w:tcPr>
            <w:tcW w:w="5051" w:type="dxa"/>
            <w:tcBorders>
              <w:left w:val="nil"/>
              <w:bottom w:val="nil"/>
              <w:right w:val="nil"/>
            </w:tcBorders>
            <w:shd w:val="clear" w:color="auto" w:fill="auto"/>
            <w:noWrap/>
            <w:vAlign w:val="center"/>
          </w:tcPr>
          <w:p w14:paraId="500D3EFE" w14:textId="77777777" w:rsidR="00E465D0" w:rsidRPr="004B2796" w:rsidRDefault="00E465D0" w:rsidP="00AB236A">
            <w:pPr>
              <w:spacing w:after="0"/>
              <w:jc w:val="left"/>
              <w:rPr>
                <w:b/>
                <w:bCs/>
                <w:sz w:val="22"/>
                <w:szCs w:val="22"/>
              </w:rPr>
            </w:pPr>
            <w:r w:rsidRPr="004B2796">
              <w:rPr>
                <w:sz w:val="22"/>
                <w:szCs w:val="22"/>
              </w:rPr>
              <w:t xml:space="preserve"> $25,000 to $49,999</w:t>
            </w:r>
          </w:p>
        </w:tc>
        <w:tc>
          <w:tcPr>
            <w:tcW w:w="803" w:type="dxa"/>
            <w:tcBorders>
              <w:left w:val="nil"/>
              <w:bottom w:val="nil"/>
              <w:right w:val="nil"/>
            </w:tcBorders>
            <w:shd w:val="clear" w:color="auto" w:fill="auto"/>
            <w:noWrap/>
            <w:vAlign w:val="center"/>
          </w:tcPr>
          <w:p w14:paraId="2736671F" w14:textId="77777777" w:rsidR="00E465D0" w:rsidRPr="004B2796" w:rsidRDefault="00E465D0" w:rsidP="00AB236A">
            <w:pPr>
              <w:spacing w:after="0"/>
              <w:jc w:val="right"/>
              <w:rPr>
                <w:sz w:val="22"/>
                <w:szCs w:val="22"/>
              </w:rPr>
            </w:pPr>
            <w:r w:rsidRPr="004B2796">
              <w:rPr>
                <w:color w:val="000000"/>
                <w:sz w:val="22"/>
                <w:szCs w:val="22"/>
              </w:rPr>
              <w:t>319</w:t>
            </w:r>
          </w:p>
        </w:tc>
        <w:tc>
          <w:tcPr>
            <w:tcW w:w="806" w:type="dxa"/>
            <w:tcBorders>
              <w:left w:val="nil"/>
              <w:bottom w:val="nil"/>
              <w:right w:val="nil"/>
            </w:tcBorders>
            <w:vAlign w:val="center"/>
          </w:tcPr>
          <w:p w14:paraId="6D1EE9B9" w14:textId="77777777" w:rsidR="00E465D0" w:rsidRPr="004B2796" w:rsidRDefault="00E465D0" w:rsidP="00AB236A">
            <w:pPr>
              <w:spacing w:after="0"/>
              <w:jc w:val="right"/>
              <w:rPr>
                <w:sz w:val="22"/>
                <w:szCs w:val="22"/>
              </w:rPr>
            </w:pPr>
            <w:r w:rsidRPr="004B2796">
              <w:rPr>
                <w:color w:val="000000"/>
                <w:sz w:val="22"/>
                <w:szCs w:val="22"/>
              </w:rPr>
              <w:t>16.6</w:t>
            </w:r>
          </w:p>
        </w:tc>
        <w:tc>
          <w:tcPr>
            <w:tcW w:w="810" w:type="dxa"/>
            <w:tcBorders>
              <w:left w:val="nil"/>
              <w:bottom w:val="nil"/>
              <w:right w:val="double" w:sz="4" w:space="0" w:color="auto"/>
            </w:tcBorders>
            <w:shd w:val="clear" w:color="auto" w:fill="auto"/>
            <w:noWrap/>
            <w:vAlign w:val="center"/>
          </w:tcPr>
          <w:p w14:paraId="55F959C3" w14:textId="77777777" w:rsidR="00E465D0" w:rsidRPr="004B2796" w:rsidRDefault="00E465D0" w:rsidP="00AB236A">
            <w:pPr>
              <w:spacing w:after="0"/>
              <w:jc w:val="right"/>
              <w:rPr>
                <w:sz w:val="22"/>
                <w:szCs w:val="22"/>
              </w:rPr>
            </w:pPr>
            <w:r w:rsidRPr="004B2796">
              <w:rPr>
                <w:sz w:val="22"/>
                <w:szCs w:val="22"/>
              </w:rPr>
              <w:t>21.2</w:t>
            </w:r>
          </w:p>
        </w:tc>
      </w:tr>
      <w:tr w:rsidR="00E465D0" w:rsidRPr="004B2796" w14:paraId="174CED00" w14:textId="77777777" w:rsidTr="00AB236A">
        <w:trPr>
          <w:gridAfter w:val="1"/>
          <w:wAfter w:w="1178" w:type="dxa"/>
          <w:trHeight w:val="274"/>
        </w:trPr>
        <w:tc>
          <w:tcPr>
            <w:tcW w:w="3240" w:type="dxa"/>
            <w:tcBorders>
              <w:left w:val="double" w:sz="6" w:space="0" w:color="auto"/>
              <w:bottom w:val="nil"/>
            </w:tcBorders>
            <w:shd w:val="clear" w:color="auto" w:fill="auto"/>
            <w:noWrap/>
            <w:vAlign w:val="center"/>
          </w:tcPr>
          <w:p w14:paraId="399F6CF7" w14:textId="77777777" w:rsidR="00E465D0" w:rsidRPr="004B2796" w:rsidRDefault="00E465D0" w:rsidP="00AB236A">
            <w:pPr>
              <w:spacing w:after="0"/>
              <w:jc w:val="left"/>
              <w:rPr>
                <w:sz w:val="22"/>
                <w:szCs w:val="22"/>
              </w:rPr>
            </w:pPr>
            <w:r w:rsidRPr="004B2796">
              <w:rPr>
                <w:i/>
                <w:sz w:val="22"/>
                <w:szCs w:val="22"/>
              </w:rPr>
              <w:t xml:space="preserve"> </w:t>
            </w:r>
            <w:r w:rsidRPr="004B2796">
              <w:rPr>
                <w:sz w:val="22"/>
                <w:szCs w:val="22"/>
              </w:rPr>
              <w:t>Bachelor’s degree</w:t>
            </w:r>
          </w:p>
        </w:tc>
        <w:tc>
          <w:tcPr>
            <w:tcW w:w="900" w:type="dxa"/>
            <w:tcBorders>
              <w:left w:val="nil"/>
              <w:bottom w:val="nil"/>
              <w:right w:val="nil"/>
            </w:tcBorders>
            <w:shd w:val="clear" w:color="auto" w:fill="auto"/>
            <w:vAlign w:val="center"/>
          </w:tcPr>
          <w:p w14:paraId="342418F9" w14:textId="77777777" w:rsidR="00E465D0" w:rsidRPr="004B2796" w:rsidRDefault="00E465D0" w:rsidP="00AB236A">
            <w:pPr>
              <w:spacing w:after="0"/>
              <w:jc w:val="right"/>
              <w:rPr>
                <w:sz w:val="22"/>
                <w:szCs w:val="22"/>
              </w:rPr>
            </w:pPr>
            <w:r w:rsidRPr="004B2796">
              <w:rPr>
                <w:sz w:val="22"/>
                <w:szCs w:val="22"/>
              </w:rPr>
              <w:t>799</w:t>
            </w:r>
          </w:p>
        </w:tc>
        <w:tc>
          <w:tcPr>
            <w:tcW w:w="809" w:type="dxa"/>
            <w:tcBorders>
              <w:left w:val="nil"/>
              <w:bottom w:val="nil"/>
              <w:right w:val="nil"/>
            </w:tcBorders>
            <w:vAlign w:val="center"/>
          </w:tcPr>
          <w:p w14:paraId="67DEC8BE" w14:textId="77777777" w:rsidR="00E465D0" w:rsidRPr="004B2796" w:rsidRDefault="00E465D0" w:rsidP="00AB236A">
            <w:pPr>
              <w:spacing w:after="0"/>
              <w:jc w:val="right"/>
              <w:rPr>
                <w:sz w:val="22"/>
                <w:szCs w:val="22"/>
              </w:rPr>
            </w:pPr>
            <w:r w:rsidRPr="004B2796">
              <w:rPr>
                <w:sz w:val="22"/>
                <w:szCs w:val="22"/>
              </w:rPr>
              <w:t>41.6</w:t>
            </w:r>
          </w:p>
        </w:tc>
        <w:tc>
          <w:tcPr>
            <w:tcW w:w="810" w:type="dxa"/>
            <w:tcBorders>
              <w:left w:val="nil"/>
              <w:bottom w:val="nil"/>
              <w:right w:val="double" w:sz="6" w:space="0" w:color="auto"/>
            </w:tcBorders>
            <w:shd w:val="clear" w:color="auto" w:fill="auto"/>
            <w:noWrap/>
            <w:vAlign w:val="center"/>
          </w:tcPr>
          <w:p w14:paraId="68C81B61" w14:textId="77777777" w:rsidR="00E465D0" w:rsidRPr="004B2796" w:rsidRDefault="00E465D0" w:rsidP="00AB236A">
            <w:pPr>
              <w:spacing w:after="0"/>
              <w:jc w:val="right"/>
              <w:rPr>
                <w:sz w:val="22"/>
                <w:szCs w:val="22"/>
              </w:rPr>
            </w:pPr>
            <w:r w:rsidRPr="004B2796">
              <w:rPr>
                <w:sz w:val="22"/>
                <w:szCs w:val="22"/>
              </w:rPr>
              <w:t>--</w:t>
            </w:r>
          </w:p>
        </w:tc>
        <w:tc>
          <w:tcPr>
            <w:tcW w:w="5051" w:type="dxa"/>
            <w:tcBorders>
              <w:left w:val="nil"/>
              <w:bottom w:val="nil"/>
              <w:right w:val="nil"/>
            </w:tcBorders>
            <w:shd w:val="clear" w:color="auto" w:fill="auto"/>
            <w:noWrap/>
            <w:vAlign w:val="center"/>
          </w:tcPr>
          <w:p w14:paraId="5FCF49D4" w14:textId="77777777" w:rsidR="00E465D0" w:rsidRPr="004B2796" w:rsidRDefault="00E465D0" w:rsidP="00AB236A">
            <w:pPr>
              <w:spacing w:after="0"/>
              <w:jc w:val="left"/>
              <w:rPr>
                <w:sz w:val="22"/>
                <w:szCs w:val="22"/>
              </w:rPr>
            </w:pPr>
            <w:r w:rsidRPr="004B2796">
              <w:rPr>
                <w:sz w:val="22"/>
                <w:szCs w:val="22"/>
              </w:rPr>
              <w:t xml:space="preserve"> $50,000 to $74,999</w:t>
            </w:r>
          </w:p>
        </w:tc>
        <w:tc>
          <w:tcPr>
            <w:tcW w:w="803" w:type="dxa"/>
            <w:tcBorders>
              <w:left w:val="nil"/>
              <w:bottom w:val="nil"/>
              <w:right w:val="nil"/>
            </w:tcBorders>
            <w:shd w:val="clear" w:color="auto" w:fill="auto"/>
            <w:noWrap/>
            <w:vAlign w:val="center"/>
          </w:tcPr>
          <w:p w14:paraId="2E5031F1" w14:textId="77777777" w:rsidR="00E465D0" w:rsidRPr="004B2796" w:rsidRDefault="00E465D0" w:rsidP="00AB236A">
            <w:pPr>
              <w:spacing w:after="0"/>
              <w:jc w:val="right"/>
              <w:rPr>
                <w:sz w:val="22"/>
                <w:szCs w:val="22"/>
              </w:rPr>
            </w:pPr>
            <w:r w:rsidRPr="004B2796">
              <w:rPr>
                <w:color w:val="000000"/>
                <w:sz w:val="22"/>
                <w:szCs w:val="22"/>
              </w:rPr>
              <w:t>380</w:t>
            </w:r>
          </w:p>
        </w:tc>
        <w:tc>
          <w:tcPr>
            <w:tcW w:w="806" w:type="dxa"/>
            <w:tcBorders>
              <w:left w:val="nil"/>
              <w:bottom w:val="nil"/>
              <w:right w:val="nil"/>
            </w:tcBorders>
            <w:vAlign w:val="center"/>
          </w:tcPr>
          <w:p w14:paraId="5598C1EB" w14:textId="77777777" w:rsidR="00E465D0" w:rsidRPr="004B2796" w:rsidRDefault="00E465D0" w:rsidP="00AB236A">
            <w:pPr>
              <w:spacing w:after="0"/>
              <w:jc w:val="right"/>
              <w:rPr>
                <w:sz w:val="22"/>
                <w:szCs w:val="22"/>
              </w:rPr>
            </w:pPr>
            <w:r w:rsidRPr="004B2796">
              <w:rPr>
                <w:color w:val="000000"/>
                <w:sz w:val="22"/>
                <w:szCs w:val="22"/>
              </w:rPr>
              <w:t>19.8</w:t>
            </w:r>
          </w:p>
        </w:tc>
        <w:tc>
          <w:tcPr>
            <w:tcW w:w="810" w:type="dxa"/>
            <w:tcBorders>
              <w:left w:val="nil"/>
              <w:bottom w:val="nil"/>
              <w:right w:val="double" w:sz="4" w:space="0" w:color="auto"/>
            </w:tcBorders>
            <w:shd w:val="clear" w:color="auto" w:fill="auto"/>
            <w:noWrap/>
            <w:vAlign w:val="center"/>
          </w:tcPr>
          <w:p w14:paraId="60542644" w14:textId="77777777" w:rsidR="00E465D0" w:rsidRPr="004B2796" w:rsidRDefault="00E465D0" w:rsidP="00AB236A">
            <w:pPr>
              <w:spacing w:after="0"/>
              <w:jc w:val="right"/>
              <w:rPr>
                <w:sz w:val="22"/>
                <w:szCs w:val="22"/>
              </w:rPr>
            </w:pPr>
            <w:r w:rsidRPr="004B2796">
              <w:rPr>
                <w:sz w:val="22"/>
                <w:szCs w:val="22"/>
              </w:rPr>
              <w:t>17.6</w:t>
            </w:r>
          </w:p>
        </w:tc>
      </w:tr>
      <w:tr w:rsidR="00E465D0" w:rsidRPr="004B2796" w14:paraId="74136FE9" w14:textId="77777777" w:rsidTr="00AB236A">
        <w:trPr>
          <w:gridAfter w:val="1"/>
          <w:wAfter w:w="1178" w:type="dxa"/>
          <w:trHeight w:val="274"/>
        </w:trPr>
        <w:tc>
          <w:tcPr>
            <w:tcW w:w="3240" w:type="dxa"/>
            <w:tcBorders>
              <w:left w:val="double" w:sz="6" w:space="0" w:color="auto"/>
              <w:bottom w:val="nil"/>
            </w:tcBorders>
            <w:shd w:val="clear" w:color="auto" w:fill="auto"/>
            <w:noWrap/>
            <w:vAlign w:val="center"/>
          </w:tcPr>
          <w:p w14:paraId="7D2CDADC" w14:textId="77777777" w:rsidR="00E465D0" w:rsidRPr="004B2796" w:rsidRDefault="00E465D0" w:rsidP="00AB236A">
            <w:pPr>
              <w:spacing w:after="0"/>
              <w:jc w:val="left"/>
              <w:rPr>
                <w:rFonts w:eastAsia="Times New Roman"/>
                <w:i/>
                <w:iCs/>
                <w:sz w:val="22"/>
                <w:szCs w:val="22"/>
              </w:rPr>
            </w:pPr>
            <w:bookmarkStart w:id="29" w:name="_Hlk136704593"/>
            <w:r w:rsidRPr="004B2796">
              <w:rPr>
                <w:sz w:val="22"/>
                <w:szCs w:val="22"/>
              </w:rPr>
              <w:t xml:space="preserve"> Graduate degree</w:t>
            </w:r>
          </w:p>
        </w:tc>
        <w:tc>
          <w:tcPr>
            <w:tcW w:w="900" w:type="dxa"/>
            <w:tcBorders>
              <w:left w:val="nil"/>
              <w:bottom w:val="nil"/>
              <w:right w:val="nil"/>
            </w:tcBorders>
            <w:shd w:val="clear" w:color="auto" w:fill="auto"/>
            <w:vAlign w:val="center"/>
          </w:tcPr>
          <w:p w14:paraId="3CD51D2A" w14:textId="77777777" w:rsidR="00E465D0" w:rsidRPr="004B2796" w:rsidRDefault="00E465D0" w:rsidP="00AB236A">
            <w:pPr>
              <w:spacing w:after="0"/>
              <w:jc w:val="right"/>
              <w:rPr>
                <w:rFonts w:eastAsia="Times New Roman"/>
                <w:sz w:val="22"/>
                <w:szCs w:val="22"/>
              </w:rPr>
            </w:pPr>
            <w:r w:rsidRPr="004B2796">
              <w:rPr>
                <w:sz w:val="22"/>
                <w:szCs w:val="22"/>
              </w:rPr>
              <w:t>557</w:t>
            </w:r>
          </w:p>
        </w:tc>
        <w:tc>
          <w:tcPr>
            <w:tcW w:w="809" w:type="dxa"/>
            <w:tcBorders>
              <w:left w:val="nil"/>
              <w:bottom w:val="nil"/>
              <w:right w:val="nil"/>
            </w:tcBorders>
            <w:vAlign w:val="center"/>
          </w:tcPr>
          <w:p w14:paraId="56CC95D2" w14:textId="77777777" w:rsidR="00E465D0" w:rsidRPr="004B2796" w:rsidRDefault="00E465D0" w:rsidP="00AB236A">
            <w:pPr>
              <w:spacing w:after="0"/>
              <w:jc w:val="right"/>
              <w:rPr>
                <w:rFonts w:eastAsia="Calibri"/>
                <w:sz w:val="22"/>
                <w:szCs w:val="22"/>
              </w:rPr>
            </w:pPr>
            <w:r w:rsidRPr="004B2796">
              <w:rPr>
                <w:sz w:val="22"/>
                <w:szCs w:val="22"/>
              </w:rPr>
              <w:t>29.0</w:t>
            </w:r>
          </w:p>
        </w:tc>
        <w:tc>
          <w:tcPr>
            <w:tcW w:w="810" w:type="dxa"/>
            <w:tcBorders>
              <w:left w:val="nil"/>
              <w:bottom w:val="nil"/>
              <w:right w:val="double" w:sz="6" w:space="0" w:color="auto"/>
            </w:tcBorders>
            <w:shd w:val="clear" w:color="auto" w:fill="auto"/>
            <w:noWrap/>
            <w:vAlign w:val="center"/>
          </w:tcPr>
          <w:p w14:paraId="019C70A9" w14:textId="77777777" w:rsidR="00E465D0" w:rsidRPr="004B2796" w:rsidRDefault="00E465D0" w:rsidP="00AB236A">
            <w:pPr>
              <w:spacing w:after="0"/>
              <w:jc w:val="right"/>
              <w:rPr>
                <w:rFonts w:eastAsia="Times New Roman"/>
                <w:sz w:val="22"/>
                <w:szCs w:val="22"/>
              </w:rPr>
            </w:pPr>
            <w:r w:rsidRPr="004B2796">
              <w:rPr>
                <w:sz w:val="22"/>
                <w:szCs w:val="22"/>
              </w:rPr>
              <w:t>--</w:t>
            </w:r>
          </w:p>
        </w:tc>
        <w:tc>
          <w:tcPr>
            <w:tcW w:w="5051" w:type="dxa"/>
            <w:tcBorders>
              <w:top w:val="nil"/>
              <w:left w:val="nil"/>
              <w:right w:val="nil"/>
            </w:tcBorders>
            <w:shd w:val="clear" w:color="auto" w:fill="auto"/>
            <w:noWrap/>
            <w:vAlign w:val="center"/>
          </w:tcPr>
          <w:p w14:paraId="699AAEED" w14:textId="77777777" w:rsidR="00E465D0" w:rsidRPr="004B2796" w:rsidRDefault="00E465D0" w:rsidP="00AB236A">
            <w:pPr>
              <w:spacing w:after="0"/>
              <w:jc w:val="left"/>
              <w:rPr>
                <w:sz w:val="22"/>
                <w:szCs w:val="22"/>
              </w:rPr>
            </w:pPr>
            <w:r w:rsidRPr="004B2796">
              <w:rPr>
                <w:sz w:val="22"/>
                <w:szCs w:val="22"/>
              </w:rPr>
              <w:t xml:space="preserve"> $75,000 to $99,999</w:t>
            </w:r>
          </w:p>
        </w:tc>
        <w:tc>
          <w:tcPr>
            <w:tcW w:w="803" w:type="dxa"/>
            <w:tcBorders>
              <w:top w:val="nil"/>
              <w:left w:val="nil"/>
              <w:right w:val="nil"/>
            </w:tcBorders>
            <w:shd w:val="clear" w:color="auto" w:fill="auto"/>
            <w:noWrap/>
            <w:vAlign w:val="center"/>
          </w:tcPr>
          <w:p w14:paraId="6E35A864" w14:textId="77777777" w:rsidR="00E465D0" w:rsidRPr="004B2796" w:rsidRDefault="00E465D0" w:rsidP="00AB236A">
            <w:pPr>
              <w:spacing w:after="0"/>
              <w:jc w:val="right"/>
              <w:rPr>
                <w:sz w:val="22"/>
                <w:szCs w:val="22"/>
              </w:rPr>
            </w:pPr>
            <w:r w:rsidRPr="004B2796">
              <w:rPr>
                <w:color w:val="000000"/>
                <w:sz w:val="22"/>
                <w:szCs w:val="22"/>
              </w:rPr>
              <w:t>319</w:t>
            </w:r>
          </w:p>
        </w:tc>
        <w:tc>
          <w:tcPr>
            <w:tcW w:w="806" w:type="dxa"/>
            <w:tcBorders>
              <w:top w:val="nil"/>
              <w:left w:val="nil"/>
              <w:right w:val="nil"/>
            </w:tcBorders>
            <w:vAlign w:val="center"/>
          </w:tcPr>
          <w:p w14:paraId="1B89F805" w14:textId="77777777" w:rsidR="00E465D0" w:rsidRPr="004B2796" w:rsidRDefault="00E465D0" w:rsidP="00AB236A">
            <w:pPr>
              <w:spacing w:after="0"/>
              <w:jc w:val="right"/>
              <w:rPr>
                <w:sz w:val="22"/>
                <w:szCs w:val="22"/>
              </w:rPr>
            </w:pPr>
            <w:r w:rsidRPr="004B2796">
              <w:rPr>
                <w:color w:val="000000"/>
                <w:sz w:val="22"/>
                <w:szCs w:val="22"/>
              </w:rPr>
              <w:t>16.6</w:t>
            </w:r>
          </w:p>
        </w:tc>
        <w:tc>
          <w:tcPr>
            <w:tcW w:w="810" w:type="dxa"/>
            <w:tcBorders>
              <w:top w:val="nil"/>
              <w:left w:val="nil"/>
              <w:right w:val="double" w:sz="4" w:space="0" w:color="auto"/>
            </w:tcBorders>
            <w:shd w:val="clear" w:color="auto" w:fill="auto"/>
            <w:noWrap/>
            <w:vAlign w:val="center"/>
          </w:tcPr>
          <w:p w14:paraId="16FC9CAE" w14:textId="77777777" w:rsidR="00E465D0" w:rsidRPr="004B2796" w:rsidRDefault="00E465D0" w:rsidP="00AB236A">
            <w:pPr>
              <w:spacing w:after="0"/>
              <w:jc w:val="right"/>
              <w:rPr>
                <w:sz w:val="22"/>
                <w:szCs w:val="22"/>
              </w:rPr>
            </w:pPr>
            <w:r w:rsidRPr="004B2796">
              <w:rPr>
                <w:sz w:val="22"/>
                <w:szCs w:val="22"/>
              </w:rPr>
              <w:t>12.5</w:t>
            </w:r>
          </w:p>
        </w:tc>
      </w:tr>
      <w:bookmarkEnd w:id="29"/>
      <w:tr w:rsidR="00E465D0" w:rsidRPr="004B2796" w14:paraId="2590F3F3" w14:textId="77777777" w:rsidTr="00AB236A">
        <w:trPr>
          <w:gridAfter w:val="1"/>
          <w:wAfter w:w="1178" w:type="dxa"/>
          <w:trHeight w:val="274"/>
        </w:trPr>
        <w:tc>
          <w:tcPr>
            <w:tcW w:w="3240" w:type="dxa"/>
            <w:tcBorders>
              <w:top w:val="double" w:sz="4" w:space="0" w:color="auto"/>
              <w:left w:val="double" w:sz="6" w:space="0" w:color="auto"/>
            </w:tcBorders>
            <w:shd w:val="clear" w:color="auto" w:fill="auto"/>
            <w:noWrap/>
            <w:vAlign w:val="center"/>
          </w:tcPr>
          <w:p w14:paraId="28B94065" w14:textId="77777777" w:rsidR="00E465D0" w:rsidRPr="004B2796" w:rsidRDefault="00E465D0" w:rsidP="00AB236A">
            <w:pPr>
              <w:spacing w:after="0"/>
              <w:jc w:val="left"/>
              <w:rPr>
                <w:b/>
                <w:bCs/>
                <w:sz w:val="22"/>
                <w:szCs w:val="22"/>
              </w:rPr>
            </w:pPr>
            <w:r w:rsidRPr="004B2796">
              <w:rPr>
                <w:b/>
                <w:bCs/>
                <w:i/>
                <w:iCs/>
                <w:sz w:val="22"/>
                <w:szCs w:val="22"/>
              </w:rPr>
              <w:t>Residential Attributes</w:t>
            </w:r>
          </w:p>
        </w:tc>
        <w:tc>
          <w:tcPr>
            <w:tcW w:w="900" w:type="dxa"/>
            <w:tcBorders>
              <w:top w:val="double" w:sz="4" w:space="0" w:color="auto"/>
              <w:left w:val="nil"/>
              <w:right w:val="nil"/>
            </w:tcBorders>
            <w:shd w:val="clear" w:color="auto" w:fill="auto"/>
            <w:vAlign w:val="bottom"/>
          </w:tcPr>
          <w:p w14:paraId="65E83B2E" w14:textId="77777777" w:rsidR="00E465D0" w:rsidRPr="004B2796" w:rsidRDefault="00E465D0" w:rsidP="00302827">
            <w:pPr>
              <w:spacing w:after="0"/>
              <w:jc w:val="right"/>
              <w:rPr>
                <w:sz w:val="22"/>
                <w:szCs w:val="22"/>
              </w:rPr>
            </w:pPr>
          </w:p>
        </w:tc>
        <w:tc>
          <w:tcPr>
            <w:tcW w:w="809" w:type="dxa"/>
            <w:tcBorders>
              <w:top w:val="double" w:sz="4" w:space="0" w:color="auto"/>
              <w:left w:val="nil"/>
              <w:right w:val="nil"/>
            </w:tcBorders>
            <w:vAlign w:val="center"/>
          </w:tcPr>
          <w:p w14:paraId="19334169" w14:textId="77777777" w:rsidR="00E465D0" w:rsidRPr="004B2796" w:rsidRDefault="00E465D0" w:rsidP="00AB236A">
            <w:pPr>
              <w:spacing w:after="0"/>
              <w:jc w:val="right"/>
              <w:rPr>
                <w:sz w:val="22"/>
                <w:szCs w:val="22"/>
              </w:rPr>
            </w:pPr>
          </w:p>
        </w:tc>
        <w:tc>
          <w:tcPr>
            <w:tcW w:w="810" w:type="dxa"/>
            <w:tcBorders>
              <w:top w:val="double" w:sz="4" w:space="0" w:color="auto"/>
              <w:left w:val="nil"/>
              <w:right w:val="double" w:sz="6" w:space="0" w:color="auto"/>
            </w:tcBorders>
            <w:shd w:val="clear" w:color="auto" w:fill="auto"/>
            <w:noWrap/>
            <w:vAlign w:val="center"/>
          </w:tcPr>
          <w:p w14:paraId="5E61099F" w14:textId="77777777" w:rsidR="00E465D0" w:rsidRPr="004B2796" w:rsidRDefault="00E465D0" w:rsidP="00AB236A">
            <w:pPr>
              <w:spacing w:after="0"/>
              <w:jc w:val="right"/>
              <w:rPr>
                <w:sz w:val="22"/>
                <w:szCs w:val="22"/>
              </w:rPr>
            </w:pPr>
          </w:p>
        </w:tc>
        <w:tc>
          <w:tcPr>
            <w:tcW w:w="5051" w:type="dxa"/>
            <w:tcBorders>
              <w:left w:val="nil"/>
              <w:bottom w:val="nil"/>
              <w:right w:val="nil"/>
            </w:tcBorders>
            <w:shd w:val="clear" w:color="auto" w:fill="auto"/>
            <w:noWrap/>
            <w:vAlign w:val="center"/>
          </w:tcPr>
          <w:p w14:paraId="4BBB069B" w14:textId="77777777" w:rsidR="00E465D0" w:rsidRPr="004B2796" w:rsidRDefault="00E465D0" w:rsidP="00AB236A">
            <w:pPr>
              <w:spacing w:after="0"/>
              <w:jc w:val="left"/>
              <w:rPr>
                <w:sz w:val="22"/>
                <w:szCs w:val="22"/>
              </w:rPr>
            </w:pPr>
            <w:r w:rsidRPr="004B2796">
              <w:rPr>
                <w:sz w:val="22"/>
                <w:szCs w:val="22"/>
              </w:rPr>
              <w:t xml:space="preserve"> $100,000 to $149,999</w:t>
            </w:r>
          </w:p>
        </w:tc>
        <w:tc>
          <w:tcPr>
            <w:tcW w:w="803" w:type="dxa"/>
            <w:tcBorders>
              <w:left w:val="nil"/>
              <w:bottom w:val="nil"/>
              <w:right w:val="nil"/>
            </w:tcBorders>
            <w:shd w:val="clear" w:color="auto" w:fill="auto"/>
            <w:noWrap/>
            <w:vAlign w:val="center"/>
          </w:tcPr>
          <w:p w14:paraId="60F94D16" w14:textId="77777777" w:rsidR="00E465D0" w:rsidRPr="004B2796" w:rsidRDefault="00E465D0" w:rsidP="00AB236A">
            <w:pPr>
              <w:spacing w:after="0"/>
              <w:jc w:val="right"/>
              <w:rPr>
                <w:sz w:val="22"/>
                <w:szCs w:val="22"/>
              </w:rPr>
            </w:pPr>
            <w:r w:rsidRPr="004B2796">
              <w:rPr>
                <w:color w:val="000000"/>
                <w:sz w:val="22"/>
                <w:szCs w:val="22"/>
              </w:rPr>
              <w:t>410</w:t>
            </w:r>
          </w:p>
        </w:tc>
        <w:tc>
          <w:tcPr>
            <w:tcW w:w="806" w:type="dxa"/>
            <w:tcBorders>
              <w:left w:val="nil"/>
              <w:bottom w:val="nil"/>
              <w:right w:val="nil"/>
            </w:tcBorders>
            <w:vAlign w:val="center"/>
          </w:tcPr>
          <w:p w14:paraId="570F2A98" w14:textId="77777777" w:rsidR="00E465D0" w:rsidRPr="004B2796" w:rsidRDefault="00E465D0" w:rsidP="00AB236A">
            <w:pPr>
              <w:spacing w:after="0"/>
              <w:jc w:val="right"/>
              <w:rPr>
                <w:sz w:val="22"/>
                <w:szCs w:val="22"/>
              </w:rPr>
            </w:pPr>
            <w:r w:rsidRPr="004B2796">
              <w:rPr>
                <w:color w:val="000000"/>
                <w:sz w:val="22"/>
                <w:szCs w:val="22"/>
              </w:rPr>
              <w:t>21.4</w:t>
            </w:r>
          </w:p>
        </w:tc>
        <w:tc>
          <w:tcPr>
            <w:tcW w:w="810" w:type="dxa"/>
            <w:tcBorders>
              <w:left w:val="nil"/>
              <w:bottom w:val="nil"/>
              <w:right w:val="double" w:sz="4" w:space="0" w:color="auto"/>
            </w:tcBorders>
            <w:shd w:val="clear" w:color="auto" w:fill="auto"/>
            <w:noWrap/>
            <w:vAlign w:val="center"/>
          </w:tcPr>
          <w:p w14:paraId="7BE1EEBE" w14:textId="77777777" w:rsidR="00E465D0" w:rsidRPr="004B2796" w:rsidRDefault="00E465D0" w:rsidP="00AB236A">
            <w:pPr>
              <w:spacing w:after="0"/>
              <w:jc w:val="right"/>
              <w:rPr>
                <w:sz w:val="22"/>
                <w:szCs w:val="22"/>
              </w:rPr>
            </w:pPr>
            <w:r w:rsidRPr="004B2796">
              <w:rPr>
                <w:sz w:val="22"/>
                <w:szCs w:val="22"/>
              </w:rPr>
              <w:t>15.6</w:t>
            </w:r>
          </w:p>
        </w:tc>
      </w:tr>
      <w:tr w:rsidR="00E465D0" w:rsidRPr="004B2796" w14:paraId="34BF917D" w14:textId="77777777" w:rsidTr="00AB236A">
        <w:trPr>
          <w:trHeight w:val="274"/>
        </w:trPr>
        <w:tc>
          <w:tcPr>
            <w:tcW w:w="4137" w:type="dxa"/>
            <w:gridSpan w:val="2"/>
            <w:tcBorders>
              <w:left w:val="double" w:sz="6" w:space="0" w:color="auto"/>
              <w:bottom w:val="nil"/>
              <w:right w:val="nil"/>
            </w:tcBorders>
            <w:shd w:val="clear" w:color="auto" w:fill="auto"/>
            <w:noWrap/>
            <w:vAlign w:val="center"/>
          </w:tcPr>
          <w:p w14:paraId="44EB6DBF" w14:textId="77777777" w:rsidR="00E465D0" w:rsidRPr="004B2796" w:rsidRDefault="00E465D0" w:rsidP="00AB236A">
            <w:pPr>
              <w:spacing w:after="0"/>
              <w:jc w:val="left"/>
              <w:rPr>
                <w:b/>
                <w:bCs/>
                <w:i/>
                <w:iCs/>
                <w:sz w:val="22"/>
                <w:szCs w:val="22"/>
              </w:rPr>
            </w:pPr>
            <w:r w:rsidRPr="004B2796">
              <w:rPr>
                <w:b/>
                <w:bCs/>
                <w:sz w:val="22"/>
                <w:szCs w:val="22"/>
              </w:rPr>
              <w:t>Neighborhood Density Type</w:t>
            </w:r>
          </w:p>
        </w:tc>
        <w:tc>
          <w:tcPr>
            <w:tcW w:w="809" w:type="dxa"/>
            <w:tcBorders>
              <w:left w:val="nil"/>
              <w:bottom w:val="nil"/>
              <w:right w:val="nil"/>
            </w:tcBorders>
            <w:vAlign w:val="center"/>
          </w:tcPr>
          <w:p w14:paraId="16DE0245" w14:textId="77777777" w:rsidR="00E465D0" w:rsidRPr="004B2796" w:rsidRDefault="00E465D0" w:rsidP="00AB236A">
            <w:pPr>
              <w:spacing w:after="0"/>
              <w:jc w:val="right"/>
              <w:rPr>
                <w:sz w:val="22"/>
                <w:szCs w:val="22"/>
              </w:rPr>
            </w:pPr>
          </w:p>
        </w:tc>
        <w:tc>
          <w:tcPr>
            <w:tcW w:w="810" w:type="dxa"/>
            <w:tcBorders>
              <w:left w:val="nil"/>
              <w:bottom w:val="nil"/>
              <w:right w:val="double" w:sz="4" w:space="0" w:color="auto"/>
            </w:tcBorders>
            <w:shd w:val="clear" w:color="auto" w:fill="auto"/>
            <w:noWrap/>
            <w:vAlign w:val="center"/>
          </w:tcPr>
          <w:p w14:paraId="5E09C849" w14:textId="77777777" w:rsidR="00E465D0" w:rsidRPr="004B2796" w:rsidRDefault="00E465D0" w:rsidP="00AB236A">
            <w:pPr>
              <w:spacing w:after="0"/>
              <w:jc w:val="right"/>
              <w:rPr>
                <w:sz w:val="22"/>
                <w:szCs w:val="22"/>
              </w:rPr>
            </w:pPr>
          </w:p>
        </w:tc>
        <w:tc>
          <w:tcPr>
            <w:tcW w:w="5051" w:type="dxa"/>
            <w:tcBorders>
              <w:top w:val="nil"/>
              <w:left w:val="double" w:sz="4" w:space="0" w:color="auto"/>
              <w:bottom w:val="nil"/>
              <w:right w:val="nil"/>
            </w:tcBorders>
            <w:shd w:val="clear" w:color="auto" w:fill="auto"/>
            <w:noWrap/>
            <w:vAlign w:val="center"/>
          </w:tcPr>
          <w:p w14:paraId="385593B4" w14:textId="77777777" w:rsidR="00E465D0" w:rsidRPr="004B2796" w:rsidRDefault="00E465D0" w:rsidP="00AB236A">
            <w:pPr>
              <w:spacing w:after="0"/>
              <w:jc w:val="left"/>
              <w:rPr>
                <w:sz w:val="22"/>
                <w:szCs w:val="22"/>
              </w:rPr>
            </w:pPr>
            <w:r w:rsidRPr="004B2796">
              <w:rPr>
                <w:sz w:val="22"/>
                <w:szCs w:val="22"/>
              </w:rPr>
              <w:t xml:space="preserve"> $150,000 to $199,999</w:t>
            </w:r>
          </w:p>
        </w:tc>
        <w:tc>
          <w:tcPr>
            <w:tcW w:w="803" w:type="dxa"/>
            <w:tcBorders>
              <w:top w:val="nil"/>
              <w:left w:val="nil"/>
              <w:bottom w:val="nil"/>
              <w:right w:val="nil"/>
            </w:tcBorders>
            <w:shd w:val="clear" w:color="auto" w:fill="auto"/>
            <w:noWrap/>
            <w:vAlign w:val="center"/>
          </w:tcPr>
          <w:p w14:paraId="46102B8B" w14:textId="77777777" w:rsidR="00E465D0" w:rsidRPr="004B2796" w:rsidRDefault="00E465D0" w:rsidP="00AB236A">
            <w:pPr>
              <w:spacing w:after="0"/>
              <w:jc w:val="right"/>
              <w:rPr>
                <w:sz w:val="22"/>
                <w:szCs w:val="22"/>
              </w:rPr>
            </w:pPr>
            <w:r w:rsidRPr="004B2796">
              <w:rPr>
                <w:sz w:val="22"/>
                <w:szCs w:val="22"/>
              </w:rPr>
              <w:t>281</w:t>
            </w:r>
          </w:p>
        </w:tc>
        <w:tc>
          <w:tcPr>
            <w:tcW w:w="806" w:type="dxa"/>
            <w:tcBorders>
              <w:top w:val="nil"/>
              <w:left w:val="nil"/>
              <w:right w:val="nil"/>
            </w:tcBorders>
            <w:vAlign w:val="center"/>
          </w:tcPr>
          <w:p w14:paraId="75635473" w14:textId="77777777" w:rsidR="00E465D0" w:rsidRPr="004B2796" w:rsidRDefault="00E465D0" w:rsidP="00AB236A">
            <w:pPr>
              <w:spacing w:after="0"/>
              <w:jc w:val="right"/>
              <w:rPr>
                <w:sz w:val="22"/>
                <w:szCs w:val="22"/>
              </w:rPr>
            </w:pPr>
            <w:r w:rsidRPr="004B2796">
              <w:rPr>
                <w:sz w:val="22"/>
                <w:szCs w:val="22"/>
              </w:rPr>
              <w:t>14.6</w:t>
            </w:r>
          </w:p>
        </w:tc>
        <w:tc>
          <w:tcPr>
            <w:tcW w:w="810" w:type="dxa"/>
            <w:tcBorders>
              <w:top w:val="nil"/>
              <w:left w:val="nil"/>
              <w:right w:val="double" w:sz="4" w:space="0" w:color="auto"/>
            </w:tcBorders>
            <w:shd w:val="clear" w:color="auto" w:fill="auto"/>
            <w:noWrap/>
            <w:vAlign w:val="center"/>
          </w:tcPr>
          <w:p w14:paraId="7EABC1A0" w14:textId="77777777" w:rsidR="00E465D0" w:rsidRPr="004B2796" w:rsidRDefault="00E465D0" w:rsidP="00AB236A">
            <w:pPr>
              <w:spacing w:after="0"/>
              <w:jc w:val="right"/>
              <w:rPr>
                <w:sz w:val="22"/>
                <w:szCs w:val="22"/>
              </w:rPr>
            </w:pPr>
            <w:r w:rsidRPr="004B2796">
              <w:rPr>
                <w:sz w:val="22"/>
                <w:szCs w:val="22"/>
              </w:rPr>
              <w:t>7.0</w:t>
            </w:r>
          </w:p>
        </w:tc>
        <w:tc>
          <w:tcPr>
            <w:tcW w:w="1181" w:type="dxa"/>
            <w:vAlign w:val="center"/>
          </w:tcPr>
          <w:p w14:paraId="1E300F16" w14:textId="77777777" w:rsidR="00E465D0" w:rsidRPr="004B2796" w:rsidRDefault="00E465D0" w:rsidP="00302827">
            <w:pPr>
              <w:spacing w:after="0"/>
              <w:rPr>
                <w:sz w:val="22"/>
                <w:szCs w:val="22"/>
              </w:rPr>
            </w:pPr>
          </w:p>
        </w:tc>
      </w:tr>
      <w:tr w:rsidR="00E465D0" w:rsidRPr="004B2796" w14:paraId="162D2618"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343D41BA" w14:textId="2A5E3183" w:rsidR="00E465D0" w:rsidRPr="004B2796" w:rsidRDefault="00E465D0" w:rsidP="00AB236A">
            <w:pPr>
              <w:spacing w:after="0"/>
              <w:jc w:val="left"/>
              <w:rPr>
                <w:sz w:val="22"/>
                <w:szCs w:val="22"/>
              </w:rPr>
            </w:pPr>
            <w:r w:rsidRPr="004B2796">
              <w:rPr>
                <w:sz w:val="22"/>
                <w:szCs w:val="22"/>
              </w:rPr>
              <w:t>Rural</w:t>
            </w:r>
          </w:p>
        </w:tc>
        <w:tc>
          <w:tcPr>
            <w:tcW w:w="900" w:type="dxa"/>
            <w:tcBorders>
              <w:top w:val="nil"/>
              <w:left w:val="nil"/>
              <w:bottom w:val="nil"/>
              <w:right w:val="nil"/>
            </w:tcBorders>
            <w:shd w:val="clear" w:color="auto" w:fill="auto"/>
            <w:noWrap/>
            <w:vAlign w:val="center"/>
          </w:tcPr>
          <w:p w14:paraId="2D0F43D4" w14:textId="77777777" w:rsidR="00E465D0" w:rsidRPr="004B2796" w:rsidRDefault="00E465D0" w:rsidP="00AB236A">
            <w:pPr>
              <w:spacing w:after="0"/>
              <w:jc w:val="right"/>
              <w:rPr>
                <w:b/>
                <w:bCs/>
                <w:sz w:val="22"/>
                <w:szCs w:val="22"/>
              </w:rPr>
            </w:pPr>
            <w:r w:rsidRPr="004B2796">
              <w:rPr>
                <w:sz w:val="22"/>
                <w:szCs w:val="22"/>
              </w:rPr>
              <w:t>684</w:t>
            </w:r>
          </w:p>
        </w:tc>
        <w:tc>
          <w:tcPr>
            <w:tcW w:w="809" w:type="dxa"/>
            <w:tcBorders>
              <w:top w:val="nil"/>
              <w:left w:val="nil"/>
              <w:bottom w:val="nil"/>
              <w:right w:val="nil"/>
            </w:tcBorders>
            <w:vAlign w:val="center"/>
          </w:tcPr>
          <w:p w14:paraId="3DA9EBE4" w14:textId="77777777" w:rsidR="00E465D0" w:rsidRPr="004B2796" w:rsidRDefault="00E465D0" w:rsidP="00AB236A">
            <w:pPr>
              <w:spacing w:after="0"/>
              <w:jc w:val="right"/>
              <w:rPr>
                <w:sz w:val="22"/>
                <w:szCs w:val="22"/>
              </w:rPr>
            </w:pPr>
            <w:r w:rsidRPr="004B2796">
              <w:rPr>
                <w:sz w:val="22"/>
                <w:szCs w:val="22"/>
              </w:rPr>
              <w:t>35.6</w:t>
            </w:r>
          </w:p>
        </w:tc>
        <w:tc>
          <w:tcPr>
            <w:tcW w:w="810" w:type="dxa"/>
            <w:tcBorders>
              <w:top w:val="nil"/>
              <w:left w:val="nil"/>
              <w:bottom w:val="nil"/>
              <w:right w:val="double" w:sz="4" w:space="0" w:color="auto"/>
            </w:tcBorders>
            <w:shd w:val="clear" w:color="auto" w:fill="auto"/>
            <w:noWrap/>
            <w:vAlign w:val="center"/>
          </w:tcPr>
          <w:p w14:paraId="3ACB556E" w14:textId="77777777" w:rsidR="00E465D0" w:rsidRPr="004B2796" w:rsidRDefault="00E465D0" w:rsidP="00AB236A">
            <w:pPr>
              <w:spacing w:after="0"/>
              <w:jc w:val="right"/>
              <w:rPr>
                <w:sz w:val="22"/>
                <w:szCs w:val="22"/>
              </w:rPr>
            </w:pPr>
          </w:p>
        </w:tc>
        <w:tc>
          <w:tcPr>
            <w:tcW w:w="5051" w:type="dxa"/>
            <w:tcBorders>
              <w:top w:val="nil"/>
              <w:left w:val="double" w:sz="4" w:space="0" w:color="auto"/>
              <w:right w:val="nil"/>
            </w:tcBorders>
            <w:shd w:val="clear" w:color="auto" w:fill="auto"/>
            <w:noWrap/>
            <w:vAlign w:val="center"/>
          </w:tcPr>
          <w:p w14:paraId="2599415E" w14:textId="77777777" w:rsidR="00E465D0" w:rsidRPr="004B2796" w:rsidRDefault="00E465D0" w:rsidP="00AB236A">
            <w:pPr>
              <w:spacing w:after="0"/>
              <w:jc w:val="left"/>
              <w:rPr>
                <w:sz w:val="22"/>
                <w:szCs w:val="22"/>
              </w:rPr>
            </w:pPr>
            <w:r w:rsidRPr="004B2796">
              <w:rPr>
                <w:b/>
                <w:bCs/>
                <w:sz w:val="22"/>
                <w:szCs w:val="22"/>
              </w:rPr>
              <w:t xml:space="preserve"> </w:t>
            </w:r>
            <w:r w:rsidRPr="004B2796">
              <w:rPr>
                <w:sz w:val="22"/>
                <w:szCs w:val="22"/>
              </w:rPr>
              <w:t>$200,000 or more</w:t>
            </w:r>
          </w:p>
        </w:tc>
        <w:tc>
          <w:tcPr>
            <w:tcW w:w="803" w:type="dxa"/>
            <w:tcBorders>
              <w:top w:val="nil"/>
              <w:left w:val="nil"/>
              <w:right w:val="nil"/>
            </w:tcBorders>
            <w:shd w:val="clear" w:color="auto" w:fill="auto"/>
            <w:noWrap/>
            <w:vAlign w:val="center"/>
          </w:tcPr>
          <w:p w14:paraId="036D75EA" w14:textId="77777777" w:rsidR="00E465D0" w:rsidRPr="004B2796" w:rsidRDefault="00E465D0" w:rsidP="00AB236A">
            <w:pPr>
              <w:spacing w:after="0"/>
              <w:jc w:val="right"/>
              <w:rPr>
                <w:sz w:val="22"/>
                <w:szCs w:val="22"/>
              </w:rPr>
            </w:pPr>
            <w:r w:rsidRPr="004B2796">
              <w:rPr>
                <w:sz w:val="22"/>
                <w:szCs w:val="22"/>
              </w:rPr>
              <w:t>127</w:t>
            </w:r>
          </w:p>
        </w:tc>
        <w:tc>
          <w:tcPr>
            <w:tcW w:w="806" w:type="dxa"/>
            <w:tcBorders>
              <w:top w:val="nil"/>
              <w:left w:val="nil"/>
              <w:right w:val="nil"/>
            </w:tcBorders>
            <w:vAlign w:val="center"/>
          </w:tcPr>
          <w:p w14:paraId="19513F6B" w14:textId="77777777" w:rsidR="00E465D0" w:rsidRPr="004B2796" w:rsidRDefault="00E465D0" w:rsidP="00AB236A">
            <w:pPr>
              <w:spacing w:after="0"/>
              <w:jc w:val="right"/>
              <w:rPr>
                <w:sz w:val="22"/>
                <w:szCs w:val="22"/>
              </w:rPr>
            </w:pPr>
            <w:r w:rsidRPr="004B2796">
              <w:rPr>
                <w:sz w:val="22"/>
                <w:szCs w:val="22"/>
              </w:rPr>
              <w:t>6.6</w:t>
            </w:r>
          </w:p>
        </w:tc>
        <w:tc>
          <w:tcPr>
            <w:tcW w:w="810" w:type="dxa"/>
            <w:tcBorders>
              <w:top w:val="nil"/>
              <w:left w:val="nil"/>
              <w:right w:val="double" w:sz="4" w:space="0" w:color="auto"/>
            </w:tcBorders>
            <w:shd w:val="clear" w:color="auto" w:fill="auto"/>
            <w:noWrap/>
            <w:vAlign w:val="center"/>
          </w:tcPr>
          <w:p w14:paraId="5CFAA231" w14:textId="77777777" w:rsidR="00E465D0" w:rsidRPr="004B2796" w:rsidRDefault="00E465D0" w:rsidP="00AB236A">
            <w:pPr>
              <w:spacing w:after="0"/>
              <w:jc w:val="right"/>
              <w:rPr>
                <w:sz w:val="22"/>
                <w:szCs w:val="22"/>
              </w:rPr>
            </w:pPr>
            <w:r w:rsidRPr="004B2796">
              <w:rPr>
                <w:sz w:val="22"/>
                <w:szCs w:val="22"/>
              </w:rPr>
              <w:t>7.8</w:t>
            </w:r>
          </w:p>
        </w:tc>
      </w:tr>
      <w:tr w:rsidR="00E465D0" w:rsidRPr="004B2796" w14:paraId="3A8D9A7B"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5D1B1699" w14:textId="7A9E4235" w:rsidR="00E465D0" w:rsidRPr="004B2796" w:rsidRDefault="00E465D0" w:rsidP="00AB236A">
            <w:pPr>
              <w:spacing w:after="0"/>
              <w:jc w:val="left"/>
              <w:rPr>
                <w:sz w:val="22"/>
                <w:szCs w:val="22"/>
              </w:rPr>
            </w:pPr>
            <w:r w:rsidRPr="004B2796">
              <w:rPr>
                <w:sz w:val="22"/>
                <w:szCs w:val="22"/>
              </w:rPr>
              <w:t>Suburban</w:t>
            </w:r>
          </w:p>
        </w:tc>
        <w:tc>
          <w:tcPr>
            <w:tcW w:w="900" w:type="dxa"/>
            <w:tcBorders>
              <w:top w:val="nil"/>
              <w:left w:val="nil"/>
              <w:bottom w:val="nil"/>
              <w:right w:val="nil"/>
            </w:tcBorders>
            <w:shd w:val="clear" w:color="auto" w:fill="auto"/>
            <w:noWrap/>
            <w:vAlign w:val="center"/>
          </w:tcPr>
          <w:p w14:paraId="733EC80A" w14:textId="77777777" w:rsidR="00E465D0" w:rsidRPr="004B2796" w:rsidRDefault="00E465D0" w:rsidP="00AB236A">
            <w:pPr>
              <w:spacing w:after="0"/>
              <w:jc w:val="right"/>
              <w:rPr>
                <w:color w:val="000000"/>
                <w:sz w:val="22"/>
                <w:szCs w:val="22"/>
              </w:rPr>
            </w:pPr>
            <w:r w:rsidRPr="004B2796">
              <w:rPr>
                <w:sz w:val="22"/>
                <w:szCs w:val="22"/>
              </w:rPr>
              <w:t>509</w:t>
            </w:r>
          </w:p>
        </w:tc>
        <w:tc>
          <w:tcPr>
            <w:tcW w:w="809" w:type="dxa"/>
            <w:tcBorders>
              <w:top w:val="nil"/>
              <w:left w:val="nil"/>
              <w:bottom w:val="nil"/>
              <w:right w:val="nil"/>
            </w:tcBorders>
            <w:vAlign w:val="center"/>
          </w:tcPr>
          <w:p w14:paraId="4A8D2D61" w14:textId="77777777" w:rsidR="00E465D0" w:rsidRPr="004B2796" w:rsidRDefault="00E465D0" w:rsidP="00AB236A">
            <w:pPr>
              <w:spacing w:after="0"/>
              <w:jc w:val="right"/>
              <w:rPr>
                <w:color w:val="000000"/>
                <w:sz w:val="22"/>
                <w:szCs w:val="22"/>
              </w:rPr>
            </w:pPr>
            <w:r w:rsidRPr="004B2796">
              <w:rPr>
                <w:sz w:val="22"/>
                <w:szCs w:val="22"/>
              </w:rPr>
              <w:t>26.5</w:t>
            </w:r>
          </w:p>
        </w:tc>
        <w:tc>
          <w:tcPr>
            <w:tcW w:w="810" w:type="dxa"/>
            <w:tcBorders>
              <w:top w:val="nil"/>
              <w:left w:val="nil"/>
              <w:bottom w:val="nil"/>
              <w:right w:val="double" w:sz="4" w:space="0" w:color="auto"/>
            </w:tcBorders>
            <w:shd w:val="clear" w:color="auto" w:fill="auto"/>
            <w:noWrap/>
            <w:vAlign w:val="center"/>
          </w:tcPr>
          <w:p w14:paraId="2512C4EC"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double" w:sz="4" w:space="0" w:color="auto"/>
              <w:right w:val="nil"/>
            </w:tcBorders>
            <w:shd w:val="clear" w:color="auto" w:fill="auto"/>
            <w:noWrap/>
            <w:vAlign w:val="center"/>
          </w:tcPr>
          <w:p w14:paraId="5C194DAD" w14:textId="77777777" w:rsidR="00E465D0" w:rsidRPr="004B2796" w:rsidRDefault="00E465D0" w:rsidP="00AB236A">
            <w:pPr>
              <w:spacing w:after="0"/>
              <w:jc w:val="left"/>
              <w:rPr>
                <w:b/>
                <w:bCs/>
                <w:sz w:val="22"/>
                <w:szCs w:val="22"/>
              </w:rPr>
            </w:pPr>
            <w:r w:rsidRPr="004B2796">
              <w:rPr>
                <w:b/>
                <w:bCs/>
                <w:sz w:val="22"/>
                <w:szCs w:val="22"/>
              </w:rPr>
              <w:t xml:space="preserve"> Number of Vehicles</w:t>
            </w:r>
          </w:p>
        </w:tc>
        <w:tc>
          <w:tcPr>
            <w:tcW w:w="803" w:type="dxa"/>
            <w:tcBorders>
              <w:top w:val="nil"/>
              <w:left w:val="nil"/>
              <w:right w:val="nil"/>
            </w:tcBorders>
            <w:shd w:val="clear" w:color="auto" w:fill="auto"/>
            <w:noWrap/>
            <w:vAlign w:val="bottom"/>
          </w:tcPr>
          <w:p w14:paraId="51C5CBAD" w14:textId="77777777" w:rsidR="00E465D0" w:rsidRPr="004B2796" w:rsidRDefault="00E465D0" w:rsidP="00302827">
            <w:pPr>
              <w:spacing w:after="0"/>
              <w:jc w:val="right"/>
              <w:rPr>
                <w:sz w:val="22"/>
                <w:szCs w:val="22"/>
              </w:rPr>
            </w:pPr>
          </w:p>
        </w:tc>
        <w:tc>
          <w:tcPr>
            <w:tcW w:w="806" w:type="dxa"/>
            <w:tcBorders>
              <w:top w:val="nil"/>
              <w:left w:val="nil"/>
              <w:right w:val="nil"/>
            </w:tcBorders>
            <w:vAlign w:val="bottom"/>
          </w:tcPr>
          <w:p w14:paraId="2C237FEB" w14:textId="77777777" w:rsidR="00E465D0" w:rsidRPr="004B2796" w:rsidRDefault="00E465D0" w:rsidP="00302827">
            <w:pPr>
              <w:spacing w:after="0"/>
              <w:jc w:val="right"/>
              <w:rPr>
                <w:sz w:val="22"/>
                <w:szCs w:val="22"/>
              </w:rPr>
            </w:pPr>
          </w:p>
        </w:tc>
        <w:tc>
          <w:tcPr>
            <w:tcW w:w="810" w:type="dxa"/>
            <w:tcBorders>
              <w:top w:val="nil"/>
              <w:left w:val="nil"/>
              <w:right w:val="double" w:sz="4" w:space="0" w:color="auto"/>
            </w:tcBorders>
            <w:shd w:val="clear" w:color="auto" w:fill="auto"/>
            <w:noWrap/>
            <w:vAlign w:val="bottom"/>
          </w:tcPr>
          <w:p w14:paraId="68EF2C91" w14:textId="77777777" w:rsidR="00E465D0" w:rsidRPr="004B2796" w:rsidRDefault="00E465D0" w:rsidP="00302827">
            <w:pPr>
              <w:spacing w:after="0"/>
              <w:jc w:val="right"/>
              <w:rPr>
                <w:sz w:val="22"/>
                <w:szCs w:val="22"/>
              </w:rPr>
            </w:pPr>
          </w:p>
        </w:tc>
      </w:tr>
      <w:tr w:rsidR="00E465D0" w:rsidRPr="004B2796" w14:paraId="70E9805B"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656C386C" w14:textId="245EE05E" w:rsidR="00E465D0" w:rsidRPr="004B2796" w:rsidRDefault="00E465D0" w:rsidP="00AB236A">
            <w:pPr>
              <w:spacing w:after="0"/>
              <w:jc w:val="left"/>
              <w:rPr>
                <w:sz w:val="22"/>
                <w:szCs w:val="22"/>
              </w:rPr>
            </w:pPr>
            <w:r w:rsidRPr="004B2796">
              <w:rPr>
                <w:sz w:val="22"/>
                <w:szCs w:val="22"/>
              </w:rPr>
              <w:t>Urban</w:t>
            </w:r>
          </w:p>
        </w:tc>
        <w:tc>
          <w:tcPr>
            <w:tcW w:w="900" w:type="dxa"/>
            <w:tcBorders>
              <w:top w:val="nil"/>
              <w:left w:val="nil"/>
              <w:bottom w:val="nil"/>
              <w:right w:val="nil"/>
            </w:tcBorders>
            <w:shd w:val="clear" w:color="auto" w:fill="auto"/>
            <w:noWrap/>
            <w:vAlign w:val="center"/>
          </w:tcPr>
          <w:p w14:paraId="03BD7BFA" w14:textId="77777777" w:rsidR="00E465D0" w:rsidRPr="004B2796" w:rsidRDefault="00E465D0" w:rsidP="00AB236A">
            <w:pPr>
              <w:spacing w:after="0"/>
              <w:jc w:val="right"/>
              <w:rPr>
                <w:color w:val="000000"/>
                <w:sz w:val="22"/>
                <w:szCs w:val="22"/>
              </w:rPr>
            </w:pPr>
            <w:r w:rsidRPr="004B2796">
              <w:rPr>
                <w:sz w:val="22"/>
                <w:szCs w:val="22"/>
              </w:rPr>
              <w:t>727</w:t>
            </w:r>
          </w:p>
        </w:tc>
        <w:tc>
          <w:tcPr>
            <w:tcW w:w="809" w:type="dxa"/>
            <w:tcBorders>
              <w:top w:val="nil"/>
              <w:left w:val="nil"/>
              <w:bottom w:val="nil"/>
              <w:right w:val="nil"/>
            </w:tcBorders>
            <w:vAlign w:val="center"/>
          </w:tcPr>
          <w:p w14:paraId="1749D926" w14:textId="77777777" w:rsidR="00E465D0" w:rsidRPr="004B2796" w:rsidRDefault="00E465D0" w:rsidP="00AB236A">
            <w:pPr>
              <w:spacing w:after="0"/>
              <w:jc w:val="right"/>
              <w:rPr>
                <w:color w:val="000000"/>
                <w:sz w:val="22"/>
                <w:szCs w:val="22"/>
              </w:rPr>
            </w:pPr>
            <w:r w:rsidRPr="004B2796">
              <w:rPr>
                <w:color w:val="000000"/>
                <w:sz w:val="22"/>
                <w:szCs w:val="22"/>
              </w:rPr>
              <w:t>37.9</w:t>
            </w:r>
          </w:p>
        </w:tc>
        <w:tc>
          <w:tcPr>
            <w:tcW w:w="810" w:type="dxa"/>
            <w:tcBorders>
              <w:top w:val="nil"/>
              <w:left w:val="nil"/>
              <w:bottom w:val="nil"/>
              <w:right w:val="double" w:sz="4" w:space="0" w:color="auto"/>
            </w:tcBorders>
            <w:shd w:val="clear" w:color="auto" w:fill="auto"/>
            <w:noWrap/>
            <w:vAlign w:val="center"/>
          </w:tcPr>
          <w:p w14:paraId="071C4A8B"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double" w:sz="4" w:space="0" w:color="auto"/>
              <w:right w:val="nil"/>
            </w:tcBorders>
            <w:shd w:val="clear" w:color="auto" w:fill="auto"/>
            <w:noWrap/>
            <w:vAlign w:val="center"/>
          </w:tcPr>
          <w:p w14:paraId="636471C3" w14:textId="77777777" w:rsidR="00E465D0" w:rsidRPr="004B2796" w:rsidRDefault="00E465D0" w:rsidP="00AB236A">
            <w:pPr>
              <w:spacing w:after="0"/>
              <w:jc w:val="left"/>
              <w:rPr>
                <w:sz w:val="22"/>
                <w:szCs w:val="22"/>
              </w:rPr>
            </w:pPr>
            <w:r w:rsidRPr="004B2796">
              <w:rPr>
                <w:sz w:val="22"/>
                <w:szCs w:val="22"/>
              </w:rPr>
              <w:t xml:space="preserve"> Zero </w:t>
            </w:r>
          </w:p>
        </w:tc>
        <w:tc>
          <w:tcPr>
            <w:tcW w:w="803" w:type="dxa"/>
            <w:tcBorders>
              <w:top w:val="nil"/>
              <w:left w:val="nil"/>
              <w:right w:val="nil"/>
            </w:tcBorders>
            <w:shd w:val="clear" w:color="auto" w:fill="auto"/>
            <w:noWrap/>
            <w:vAlign w:val="center"/>
          </w:tcPr>
          <w:p w14:paraId="1F6D39AE" w14:textId="77777777" w:rsidR="00E465D0" w:rsidRPr="004B2796" w:rsidRDefault="00E465D0" w:rsidP="00AB236A">
            <w:pPr>
              <w:spacing w:after="0"/>
              <w:jc w:val="right"/>
              <w:rPr>
                <w:sz w:val="22"/>
                <w:szCs w:val="22"/>
              </w:rPr>
            </w:pPr>
            <w:r w:rsidRPr="004B2796">
              <w:rPr>
                <w:color w:val="000000"/>
                <w:sz w:val="22"/>
                <w:szCs w:val="22"/>
              </w:rPr>
              <w:t>104</w:t>
            </w:r>
          </w:p>
        </w:tc>
        <w:tc>
          <w:tcPr>
            <w:tcW w:w="806" w:type="dxa"/>
            <w:tcBorders>
              <w:top w:val="nil"/>
              <w:left w:val="nil"/>
              <w:right w:val="nil"/>
            </w:tcBorders>
            <w:vAlign w:val="center"/>
          </w:tcPr>
          <w:p w14:paraId="3C4A9B02" w14:textId="77777777" w:rsidR="00E465D0" w:rsidRPr="004B2796" w:rsidRDefault="00E465D0" w:rsidP="00AB236A">
            <w:pPr>
              <w:spacing w:after="0"/>
              <w:jc w:val="right"/>
              <w:rPr>
                <w:sz w:val="22"/>
                <w:szCs w:val="22"/>
              </w:rPr>
            </w:pPr>
            <w:r w:rsidRPr="004B2796">
              <w:rPr>
                <w:color w:val="000000"/>
                <w:sz w:val="22"/>
                <w:szCs w:val="22"/>
              </w:rPr>
              <w:t>5.4</w:t>
            </w:r>
          </w:p>
        </w:tc>
        <w:tc>
          <w:tcPr>
            <w:tcW w:w="810" w:type="dxa"/>
            <w:tcBorders>
              <w:top w:val="nil"/>
              <w:left w:val="nil"/>
              <w:right w:val="double" w:sz="4" w:space="0" w:color="auto"/>
            </w:tcBorders>
            <w:shd w:val="clear" w:color="auto" w:fill="auto"/>
            <w:noWrap/>
            <w:vAlign w:val="center"/>
          </w:tcPr>
          <w:p w14:paraId="15296A8E"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7EC4EA10"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48EE1ACB" w14:textId="77777777" w:rsidR="00E465D0" w:rsidRPr="004B2796" w:rsidRDefault="00E465D0" w:rsidP="00AB236A">
            <w:pPr>
              <w:spacing w:after="0"/>
              <w:jc w:val="left"/>
              <w:rPr>
                <w:sz w:val="22"/>
                <w:szCs w:val="22"/>
              </w:rPr>
            </w:pPr>
            <w:r w:rsidRPr="004B2796">
              <w:rPr>
                <w:b/>
                <w:bCs/>
                <w:sz w:val="22"/>
                <w:szCs w:val="22"/>
              </w:rPr>
              <w:t xml:space="preserve">Proximity to Retail </w:t>
            </w:r>
          </w:p>
        </w:tc>
        <w:tc>
          <w:tcPr>
            <w:tcW w:w="900" w:type="dxa"/>
            <w:tcBorders>
              <w:top w:val="nil"/>
              <w:left w:val="nil"/>
              <w:bottom w:val="nil"/>
              <w:right w:val="nil"/>
            </w:tcBorders>
            <w:shd w:val="clear" w:color="auto" w:fill="auto"/>
            <w:noWrap/>
            <w:vAlign w:val="center"/>
          </w:tcPr>
          <w:p w14:paraId="7186C1C6" w14:textId="77777777" w:rsidR="00E465D0" w:rsidRPr="004B2796" w:rsidRDefault="00E465D0" w:rsidP="00AB236A">
            <w:pPr>
              <w:spacing w:after="0"/>
              <w:jc w:val="right"/>
              <w:rPr>
                <w:color w:val="000000"/>
                <w:sz w:val="22"/>
                <w:szCs w:val="22"/>
              </w:rPr>
            </w:pPr>
          </w:p>
        </w:tc>
        <w:tc>
          <w:tcPr>
            <w:tcW w:w="809" w:type="dxa"/>
            <w:tcBorders>
              <w:top w:val="nil"/>
              <w:left w:val="nil"/>
              <w:bottom w:val="nil"/>
              <w:right w:val="nil"/>
            </w:tcBorders>
            <w:vAlign w:val="center"/>
          </w:tcPr>
          <w:p w14:paraId="59C4B593" w14:textId="77777777" w:rsidR="00E465D0" w:rsidRPr="004B2796" w:rsidRDefault="00E465D0" w:rsidP="00AB236A">
            <w:pPr>
              <w:spacing w:after="0"/>
              <w:jc w:val="right"/>
              <w:rPr>
                <w:color w:val="000000"/>
                <w:sz w:val="22"/>
                <w:szCs w:val="22"/>
              </w:rPr>
            </w:pPr>
          </w:p>
        </w:tc>
        <w:tc>
          <w:tcPr>
            <w:tcW w:w="810" w:type="dxa"/>
            <w:tcBorders>
              <w:top w:val="nil"/>
              <w:left w:val="nil"/>
              <w:bottom w:val="nil"/>
              <w:right w:val="double" w:sz="4" w:space="0" w:color="auto"/>
            </w:tcBorders>
            <w:shd w:val="clear" w:color="auto" w:fill="auto"/>
            <w:noWrap/>
            <w:vAlign w:val="center"/>
          </w:tcPr>
          <w:p w14:paraId="6A76B0ED" w14:textId="77777777" w:rsidR="00E465D0" w:rsidRPr="004B2796" w:rsidRDefault="00E465D0" w:rsidP="00AB236A">
            <w:pPr>
              <w:spacing w:after="0"/>
              <w:jc w:val="right"/>
              <w:rPr>
                <w:sz w:val="22"/>
                <w:szCs w:val="22"/>
              </w:rPr>
            </w:pPr>
            <w:r w:rsidRPr="004B2796">
              <w:rPr>
                <w:sz w:val="22"/>
                <w:szCs w:val="22"/>
              </w:rPr>
              <w:t>--</w:t>
            </w:r>
          </w:p>
        </w:tc>
        <w:tc>
          <w:tcPr>
            <w:tcW w:w="5051" w:type="dxa"/>
            <w:tcBorders>
              <w:top w:val="nil"/>
              <w:left w:val="double" w:sz="4" w:space="0" w:color="auto"/>
              <w:right w:val="nil"/>
            </w:tcBorders>
            <w:shd w:val="clear" w:color="auto" w:fill="auto"/>
            <w:noWrap/>
            <w:vAlign w:val="center"/>
          </w:tcPr>
          <w:p w14:paraId="666E5CD8" w14:textId="77777777" w:rsidR="00E465D0" w:rsidRPr="004B2796" w:rsidRDefault="00E465D0" w:rsidP="00AB236A">
            <w:pPr>
              <w:spacing w:after="0"/>
              <w:jc w:val="left"/>
              <w:rPr>
                <w:sz w:val="22"/>
                <w:szCs w:val="22"/>
              </w:rPr>
            </w:pPr>
            <w:r w:rsidRPr="004B2796">
              <w:rPr>
                <w:sz w:val="22"/>
                <w:szCs w:val="22"/>
              </w:rPr>
              <w:t xml:space="preserve"> One or Two</w:t>
            </w:r>
          </w:p>
        </w:tc>
        <w:tc>
          <w:tcPr>
            <w:tcW w:w="803" w:type="dxa"/>
            <w:tcBorders>
              <w:top w:val="nil"/>
              <w:left w:val="nil"/>
              <w:right w:val="nil"/>
            </w:tcBorders>
            <w:shd w:val="clear" w:color="auto" w:fill="auto"/>
            <w:noWrap/>
            <w:vAlign w:val="center"/>
          </w:tcPr>
          <w:p w14:paraId="32ECC820" w14:textId="77777777" w:rsidR="00E465D0" w:rsidRPr="004B2796" w:rsidRDefault="00E465D0" w:rsidP="00AB236A">
            <w:pPr>
              <w:spacing w:after="0"/>
              <w:jc w:val="right"/>
              <w:rPr>
                <w:sz w:val="22"/>
                <w:szCs w:val="22"/>
              </w:rPr>
            </w:pPr>
            <w:r w:rsidRPr="004B2796">
              <w:rPr>
                <w:color w:val="000000"/>
                <w:sz w:val="22"/>
                <w:szCs w:val="22"/>
              </w:rPr>
              <w:t>1594</w:t>
            </w:r>
          </w:p>
        </w:tc>
        <w:tc>
          <w:tcPr>
            <w:tcW w:w="806" w:type="dxa"/>
            <w:tcBorders>
              <w:top w:val="nil"/>
              <w:left w:val="nil"/>
              <w:right w:val="nil"/>
            </w:tcBorders>
            <w:vAlign w:val="center"/>
          </w:tcPr>
          <w:p w14:paraId="40C63E8E" w14:textId="77777777" w:rsidR="00E465D0" w:rsidRPr="004B2796" w:rsidRDefault="00E465D0" w:rsidP="00AB236A">
            <w:pPr>
              <w:spacing w:after="0"/>
              <w:jc w:val="right"/>
              <w:rPr>
                <w:sz w:val="22"/>
                <w:szCs w:val="22"/>
              </w:rPr>
            </w:pPr>
            <w:r w:rsidRPr="004B2796">
              <w:rPr>
                <w:color w:val="000000"/>
                <w:sz w:val="22"/>
                <w:szCs w:val="22"/>
              </w:rPr>
              <w:t>83.0</w:t>
            </w:r>
          </w:p>
        </w:tc>
        <w:tc>
          <w:tcPr>
            <w:tcW w:w="810" w:type="dxa"/>
            <w:tcBorders>
              <w:top w:val="nil"/>
              <w:left w:val="nil"/>
              <w:right w:val="double" w:sz="4" w:space="0" w:color="auto"/>
            </w:tcBorders>
            <w:shd w:val="clear" w:color="auto" w:fill="auto"/>
            <w:noWrap/>
            <w:vAlign w:val="center"/>
          </w:tcPr>
          <w:p w14:paraId="105A99A4"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1736C1BF" w14:textId="77777777" w:rsidTr="00AB236A">
        <w:trPr>
          <w:gridAfter w:val="1"/>
          <w:wAfter w:w="1178" w:type="dxa"/>
          <w:trHeight w:val="274"/>
        </w:trPr>
        <w:tc>
          <w:tcPr>
            <w:tcW w:w="3240" w:type="dxa"/>
            <w:tcBorders>
              <w:top w:val="nil"/>
              <w:left w:val="double" w:sz="6" w:space="0" w:color="auto"/>
              <w:bottom w:val="nil"/>
              <w:right w:val="nil"/>
            </w:tcBorders>
            <w:shd w:val="clear" w:color="auto" w:fill="auto"/>
            <w:noWrap/>
            <w:vAlign w:val="center"/>
          </w:tcPr>
          <w:p w14:paraId="63545E92" w14:textId="77777777" w:rsidR="00E465D0" w:rsidRPr="004B2796" w:rsidRDefault="00E465D0" w:rsidP="00AB236A">
            <w:pPr>
              <w:spacing w:after="0"/>
              <w:jc w:val="left"/>
              <w:rPr>
                <w:sz w:val="22"/>
                <w:szCs w:val="22"/>
              </w:rPr>
            </w:pPr>
            <w:r w:rsidRPr="004B2796">
              <w:rPr>
                <w:sz w:val="22"/>
                <w:szCs w:val="22"/>
              </w:rPr>
              <w:t>At least one within home zip code</w:t>
            </w:r>
          </w:p>
        </w:tc>
        <w:tc>
          <w:tcPr>
            <w:tcW w:w="900" w:type="dxa"/>
            <w:tcBorders>
              <w:top w:val="nil"/>
              <w:left w:val="nil"/>
              <w:bottom w:val="nil"/>
              <w:right w:val="nil"/>
            </w:tcBorders>
            <w:shd w:val="clear" w:color="auto" w:fill="auto"/>
            <w:noWrap/>
            <w:vAlign w:val="center"/>
          </w:tcPr>
          <w:p w14:paraId="36BD037F" w14:textId="77777777" w:rsidR="00E465D0" w:rsidRPr="004B2796" w:rsidRDefault="00E465D0" w:rsidP="00AB236A">
            <w:pPr>
              <w:spacing w:after="0"/>
              <w:jc w:val="right"/>
              <w:rPr>
                <w:color w:val="000000"/>
                <w:sz w:val="22"/>
                <w:szCs w:val="22"/>
              </w:rPr>
            </w:pPr>
            <w:r w:rsidRPr="004B2796">
              <w:rPr>
                <w:sz w:val="22"/>
                <w:szCs w:val="22"/>
              </w:rPr>
              <w:t>1295</w:t>
            </w:r>
          </w:p>
        </w:tc>
        <w:tc>
          <w:tcPr>
            <w:tcW w:w="809" w:type="dxa"/>
            <w:tcBorders>
              <w:top w:val="nil"/>
              <w:left w:val="nil"/>
              <w:bottom w:val="nil"/>
              <w:right w:val="nil"/>
            </w:tcBorders>
            <w:vAlign w:val="center"/>
          </w:tcPr>
          <w:p w14:paraId="0C3BEDAA" w14:textId="77777777" w:rsidR="00E465D0" w:rsidRPr="004B2796" w:rsidRDefault="00E465D0" w:rsidP="00AB236A">
            <w:pPr>
              <w:spacing w:after="0"/>
              <w:jc w:val="right"/>
              <w:rPr>
                <w:color w:val="000000"/>
                <w:sz w:val="22"/>
                <w:szCs w:val="22"/>
              </w:rPr>
            </w:pPr>
            <w:r w:rsidRPr="004B2796">
              <w:rPr>
                <w:color w:val="000000"/>
                <w:sz w:val="22"/>
                <w:szCs w:val="22"/>
              </w:rPr>
              <w:t>67.4</w:t>
            </w:r>
          </w:p>
        </w:tc>
        <w:tc>
          <w:tcPr>
            <w:tcW w:w="810" w:type="dxa"/>
            <w:tcBorders>
              <w:top w:val="nil"/>
              <w:left w:val="nil"/>
              <w:bottom w:val="nil"/>
              <w:right w:val="double" w:sz="4" w:space="0" w:color="auto"/>
            </w:tcBorders>
            <w:shd w:val="clear" w:color="auto" w:fill="auto"/>
            <w:noWrap/>
            <w:vAlign w:val="center"/>
          </w:tcPr>
          <w:p w14:paraId="72195405" w14:textId="77777777" w:rsidR="00E465D0" w:rsidRPr="004B2796" w:rsidRDefault="00E465D0" w:rsidP="00AB236A">
            <w:pPr>
              <w:spacing w:after="0"/>
              <w:jc w:val="right"/>
              <w:rPr>
                <w:sz w:val="22"/>
                <w:szCs w:val="22"/>
              </w:rPr>
            </w:pPr>
          </w:p>
        </w:tc>
        <w:tc>
          <w:tcPr>
            <w:tcW w:w="5051" w:type="dxa"/>
            <w:tcBorders>
              <w:top w:val="nil"/>
              <w:left w:val="double" w:sz="4" w:space="0" w:color="auto"/>
              <w:right w:val="nil"/>
            </w:tcBorders>
            <w:shd w:val="clear" w:color="auto" w:fill="auto"/>
            <w:noWrap/>
            <w:vAlign w:val="center"/>
          </w:tcPr>
          <w:p w14:paraId="50B925AC" w14:textId="77777777" w:rsidR="00E465D0" w:rsidRPr="004B2796" w:rsidRDefault="00E465D0" w:rsidP="00AB236A">
            <w:pPr>
              <w:spacing w:after="0"/>
              <w:jc w:val="left"/>
              <w:rPr>
                <w:sz w:val="22"/>
                <w:szCs w:val="22"/>
              </w:rPr>
            </w:pPr>
            <w:r w:rsidRPr="004B2796">
              <w:rPr>
                <w:sz w:val="22"/>
                <w:szCs w:val="22"/>
              </w:rPr>
              <w:t xml:space="preserve"> Three or more</w:t>
            </w:r>
          </w:p>
        </w:tc>
        <w:tc>
          <w:tcPr>
            <w:tcW w:w="803" w:type="dxa"/>
            <w:tcBorders>
              <w:top w:val="nil"/>
              <w:left w:val="nil"/>
              <w:right w:val="nil"/>
            </w:tcBorders>
            <w:shd w:val="clear" w:color="auto" w:fill="auto"/>
            <w:noWrap/>
            <w:vAlign w:val="center"/>
          </w:tcPr>
          <w:p w14:paraId="69E71A03" w14:textId="77777777" w:rsidR="00E465D0" w:rsidRPr="004B2796" w:rsidRDefault="00E465D0" w:rsidP="00AB236A">
            <w:pPr>
              <w:spacing w:after="0"/>
              <w:jc w:val="right"/>
              <w:rPr>
                <w:sz w:val="22"/>
                <w:szCs w:val="22"/>
              </w:rPr>
            </w:pPr>
            <w:r w:rsidRPr="004B2796">
              <w:rPr>
                <w:color w:val="000000"/>
                <w:sz w:val="22"/>
                <w:szCs w:val="22"/>
              </w:rPr>
              <w:t>222</w:t>
            </w:r>
          </w:p>
        </w:tc>
        <w:tc>
          <w:tcPr>
            <w:tcW w:w="806" w:type="dxa"/>
            <w:tcBorders>
              <w:top w:val="nil"/>
              <w:left w:val="nil"/>
              <w:right w:val="nil"/>
            </w:tcBorders>
            <w:vAlign w:val="center"/>
          </w:tcPr>
          <w:p w14:paraId="61DDDFD2" w14:textId="77777777" w:rsidR="00E465D0" w:rsidRPr="004B2796" w:rsidRDefault="00E465D0" w:rsidP="00AB236A">
            <w:pPr>
              <w:spacing w:after="0"/>
              <w:jc w:val="right"/>
              <w:rPr>
                <w:sz w:val="22"/>
                <w:szCs w:val="22"/>
              </w:rPr>
            </w:pPr>
            <w:r w:rsidRPr="004B2796">
              <w:rPr>
                <w:color w:val="000000"/>
                <w:sz w:val="22"/>
                <w:szCs w:val="22"/>
              </w:rPr>
              <w:t>11.6</w:t>
            </w:r>
          </w:p>
        </w:tc>
        <w:tc>
          <w:tcPr>
            <w:tcW w:w="810" w:type="dxa"/>
            <w:tcBorders>
              <w:top w:val="nil"/>
              <w:left w:val="nil"/>
              <w:right w:val="double" w:sz="4" w:space="0" w:color="auto"/>
            </w:tcBorders>
            <w:shd w:val="clear" w:color="auto" w:fill="auto"/>
            <w:noWrap/>
            <w:vAlign w:val="center"/>
          </w:tcPr>
          <w:p w14:paraId="17E0695D" w14:textId="77777777" w:rsidR="00E465D0" w:rsidRPr="004B2796" w:rsidRDefault="00E465D0" w:rsidP="00AB236A">
            <w:pPr>
              <w:spacing w:after="0"/>
              <w:jc w:val="right"/>
              <w:rPr>
                <w:sz w:val="22"/>
                <w:szCs w:val="22"/>
              </w:rPr>
            </w:pPr>
            <w:r w:rsidRPr="004B2796">
              <w:rPr>
                <w:sz w:val="22"/>
                <w:szCs w:val="22"/>
              </w:rPr>
              <w:t>--</w:t>
            </w:r>
          </w:p>
        </w:tc>
      </w:tr>
      <w:tr w:rsidR="00E465D0" w:rsidRPr="004B2796" w14:paraId="13346808" w14:textId="77777777" w:rsidTr="00AB236A">
        <w:trPr>
          <w:gridAfter w:val="1"/>
          <w:wAfter w:w="1178" w:type="dxa"/>
          <w:trHeight w:val="274"/>
        </w:trPr>
        <w:tc>
          <w:tcPr>
            <w:tcW w:w="3240" w:type="dxa"/>
            <w:tcBorders>
              <w:top w:val="nil"/>
              <w:left w:val="double" w:sz="6" w:space="0" w:color="auto"/>
              <w:bottom w:val="double" w:sz="4" w:space="0" w:color="auto"/>
              <w:right w:val="nil"/>
            </w:tcBorders>
            <w:shd w:val="clear" w:color="auto" w:fill="auto"/>
            <w:noWrap/>
            <w:vAlign w:val="center"/>
          </w:tcPr>
          <w:p w14:paraId="2AB36F44" w14:textId="77777777" w:rsidR="00E465D0" w:rsidRPr="004B2796" w:rsidRDefault="00E465D0" w:rsidP="00AB236A">
            <w:pPr>
              <w:spacing w:after="0"/>
              <w:jc w:val="left"/>
              <w:rPr>
                <w:sz w:val="22"/>
                <w:szCs w:val="22"/>
              </w:rPr>
            </w:pPr>
            <w:r w:rsidRPr="004B2796">
              <w:rPr>
                <w:sz w:val="22"/>
                <w:szCs w:val="22"/>
              </w:rPr>
              <w:t>None within home zip code</w:t>
            </w:r>
          </w:p>
        </w:tc>
        <w:tc>
          <w:tcPr>
            <w:tcW w:w="900" w:type="dxa"/>
            <w:tcBorders>
              <w:top w:val="nil"/>
              <w:left w:val="nil"/>
              <w:bottom w:val="double" w:sz="4" w:space="0" w:color="auto"/>
              <w:right w:val="nil"/>
            </w:tcBorders>
            <w:shd w:val="clear" w:color="auto" w:fill="auto"/>
            <w:noWrap/>
            <w:vAlign w:val="center"/>
          </w:tcPr>
          <w:p w14:paraId="40C043FE" w14:textId="77777777" w:rsidR="00E465D0" w:rsidRPr="004B2796" w:rsidRDefault="00E465D0" w:rsidP="00AB236A">
            <w:pPr>
              <w:spacing w:after="0"/>
              <w:jc w:val="right"/>
              <w:rPr>
                <w:rFonts w:eastAsia="Calibri"/>
                <w:color w:val="000000"/>
                <w:sz w:val="22"/>
                <w:szCs w:val="22"/>
              </w:rPr>
            </w:pPr>
            <w:r w:rsidRPr="004B2796">
              <w:rPr>
                <w:color w:val="000000"/>
                <w:sz w:val="22"/>
                <w:szCs w:val="22"/>
              </w:rPr>
              <w:t>625</w:t>
            </w:r>
          </w:p>
        </w:tc>
        <w:tc>
          <w:tcPr>
            <w:tcW w:w="809" w:type="dxa"/>
            <w:tcBorders>
              <w:top w:val="nil"/>
              <w:left w:val="nil"/>
              <w:bottom w:val="double" w:sz="4" w:space="0" w:color="auto"/>
              <w:right w:val="nil"/>
            </w:tcBorders>
            <w:vAlign w:val="center"/>
          </w:tcPr>
          <w:p w14:paraId="2AFD3B45" w14:textId="77777777" w:rsidR="00E465D0" w:rsidRPr="004B2796" w:rsidRDefault="00E465D0" w:rsidP="00AB236A">
            <w:pPr>
              <w:spacing w:after="0"/>
              <w:jc w:val="right"/>
              <w:rPr>
                <w:sz w:val="22"/>
                <w:szCs w:val="22"/>
              </w:rPr>
            </w:pPr>
            <w:r w:rsidRPr="004B2796">
              <w:rPr>
                <w:color w:val="000000"/>
                <w:sz w:val="22"/>
                <w:szCs w:val="22"/>
              </w:rPr>
              <w:t>32.6</w:t>
            </w:r>
          </w:p>
        </w:tc>
        <w:tc>
          <w:tcPr>
            <w:tcW w:w="810" w:type="dxa"/>
            <w:tcBorders>
              <w:top w:val="nil"/>
              <w:left w:val="nil"/>
              <w:bottom w:val="double" w:sz="4" w:space="0" w:color="auto"/>
              <w:right w:val="double" w:sz="4" w:space="0" w:color="auto"/>
            </w:tcBorders>
            <w:shd w:val="clear" w:color="auto" w:fill="auto"/>
            <w:noWrap/>
            <w:vAlign w:val="center"/>
          </w:tcPr>
          <w:p w14:paraId="4FD7914B" w14:textId="77777777" w:rsidR="00E465D0" w:rsidRPr="004B2796" w:rsidRDefault="00E465D0" w:rsidP="00AB236A">
            <w:pPr>
              <w:spacing w:after="0"/>
              <w:jc w:val="right"/>
              <w:rPr>
                <w:rFonts w:eastAsia="Calibri"/>
                <w:color w:val="000000"/>
                <w:sz w:val="22"/>
                <w:szCs w:val="22"/>
              </w:rPr>
            </w:pPr>
            <w:r w:rsidRPr="004B2796">
              <w:rPr>
                <w:sz w:val="22"/>
                <w:szCs w:val="22"/>
              </w:rPr>
              <w:t>--</w:t>
            </w:r>
          </w:p>
        </w:tc>
        <w:tc>
          <w:tcPr>
            <w:tcW w:w="5051" w:type="dxa"/>
            <w:tcBorders>
              <w:left w:val="double" w:sz="4" w:space="0" w:color="auto"/>
              <w:bottom w:val="double" w:sz="4" w:space="0" w:color="auto"/>
              <w:right w:val="nil"/>
            </w:tcBorders>
            <w:shd w:val="clear" w:color="auto" w:fill="auto"/>
            <w:noWrap/>
          </w:tcPr>
          <w:p w14:paraId="1BEDD22D" w14:textId="77777777" w:rsidR="00E465D0" w:rsidRPr="004B2796" w:rsidRDefault="00E465D0" w:rsidP="00302827">
            <w:pPr>
              <w:spacing w:after="0"/>
              <w:rPr>
                <w:sz w:val="22"/>
                <w:szCs w:val="22"/>
              </w:rPr>
            </w:pPr>
          </w:p>
        </w:tc>
        <w:tc>
          <w:tcPr>
            <w:tcW w:w="803" w:type="dxa"/>
            <w:tcBorders>
              <w:left w:val="nil"/>
              <w:bottom w:val="double" w:sz="4" w:space="0" w:color="auto"/>
              <w:right w:val="nil"/>
            </w:tcBorders>
            <w:shd w:val="clear" w:color="auto" w:fill="auto"/>
            <w:noWrap/>
            <w:vAlign w:val="center"/>
          </w:tcPr>
          <w:p w14:paraId="0DA4B95B" w14:textId="77777777" w:rsidR="00E465D0" w:rsidRPr="004B2796" w:rsidRDefault="00E465D0" w:rsidP="00AB236A">
            <w:pPr>
              <w:spacing w:after="0"/>
              <w:jc w:val="right"/>
              <w:rPr>
                <w:sz w:val="22"/>
                <w:szCs w:val="22"/>
              </w:rPr>
            </w:pPr>
          </w:p>
        </w:tc>
        <w:tc>
          <w:tcPr>
            <w:tcW w:w="806" w:type="dxa"/>
            <w:tcBorders>
              <w:left w:val="nil"/>
              <w:bottom w:val="double" w:sz="4" w:space="0" w:color="auto"/>
              <w:right w:val="nil"/>
            </w:tcBorders>
            <w:vAlign w:val="center"/>
          </w:tcPr>
          <w:p w14:paraId="03678399" w14:textId="77777777" w:rsidR="00E465D0" w:rsidRPr="004B2796" w:rsidRDefault="00E465D0" w:rsidP="00AB236A">
            <w:pPr>
              <w:spacing w:after="0"/>
              <w:jc w:val="right"/>
              <w:rPr>
                <w:sz w:val="22"/>
                <w:szCs w:val="22"/>
              </w:rPr>
            </w:pPr>
          </w:p>
        </w:tc>
        <w:tc>
          <w:tcPr>
            <w:tcW w:w="810" w:type="dxa"/>
            <w:tcBorders>
              <w:left w:val="nil"/>
              <w:bottom w:val="double" w:sz="4" w:space="0" w:color="auto"/>
              <w:right w:val="double" w:sz="4" w:space="0" w:color="auto"/>
            </w:tcBorders>
            <w:shd w:val="clear" w:color="auto" w:fill="auto"/>
            <w:noWrap/>
            <w:vAlign w:val="center"/>
          </w:tcPr>
          <w:p w14:paraId="35302627" w14:textId="77777777" w:rsidR="00E465D0" w:rsidRPr="004B2796" w:rsidRDefault="00E465D0" w:rsidP="00AB236A">
            <w:pPr>
              <w:spacing w:after="0"/>
              <w:jc w:val="right"/>
              <w:rPr>
                <w:sz w:val="22"/>
                <w:szCs w:val="22"/>
              </w:rPr>
            </w:pPr>
          </w:p>
        </w:tc>
      </w:tr>
    </w:tbl>
    <w:bookmarkEnd w:id="27"/>
    <w:p w14:paraId="5C87C7C8" w14:textId="13B9D2BD" w:rsidR="00E465D0" w:rsidRPr="00A2119B" w:rsidRDefault="00E465D0" w:rsidP="00E465D0">
      <w:pPr>
        <w:spacing w:after="0"/>
        <w:rPr>
          <w:sz w:val="22"/>
          <w:szCs w:val="22"/>
        </w:rPr>
        <w:sectPr w:rsidR="00E465D0" w:rsidRPr="00A2119B" w:rsidSect="004B2796">
          <w:pgSz w:w="15840" w:h="12240" w:orient="landscape"/>
          <w:pgMar w:top="1440" w:right="1440" w:bottom="1440" w:left="1440" w:header="720" w:footer="720" w:gutter="0"/>
          <w:cols w:space="720"/>
          <w:docGrid w:linePitch="360"/>
        </w:sectPr>
      </w:pPr>
      <w:r w:rsidRPr="00A2119B">
        <w:rPr>
          <w:sz w:val="22"/>
          <w:szCs w:val="22"/>
        </w:rPr>
        <w:t xml:space="preserve"> “—</w:t>
      </w:r>
      <w:r w:rsidR="004B2796" w:rsidRPr="00A2119B">
        <w:rPr>
          <w:sz w:val="22"/>
          <w:szCs w:val="22"/>
        </w:rPr>
        <w:t xml:space="preserve">” </w:t>
      </w:r>
      <w:r w:rsidRPr="00A2119B">
        <w:rPr>
          <w:sz w:val="22"/>
          <w:szCs w:val="22"/>
        </w:rPr>
        <w:t xml:space="preserve">indicates that census comparisons are not available on the employed population of the Twin City region of Minnesota. </w:t>
      </w:r>
    </w:p>
    <w:bookmarkEnd w:id="28"/>
    <w:p w14:paraId="60082B6E" w14:textId="5B7847ED" w:rsidR="00E465D0" w:rsidRPr="00E465D0" w:rsidRDefault="00E465D0" w:rsidP="00E465D0">
      <w:pPr>
        <w:spacing w:after="0"/>
        <w:rPr>
          <w:b/>
          <w:bCs/>
        </w:rPr>
      </w:pPr>
      <w:r w:rsidRPr="00E465D0">
        <w:rPr>
          <w:b/>
          <w:bCs/>
        </w:rPr>
        <w:lastRenderedPageBreak/>
        <w:t>Table 2</w:t>
      </w:r>
      <w:r w:rsidR="005D4542">
        <w:rPr>
          <w:b/>
          <w:bCs/>
        </w:rPr>
        <w:t>.</w:t>
      </w:r>
      <w:r w:rsidRPr="00E465D0">
        <w:rPr>
          <w:b/>
          <w:bCs/>
        </w:rPr>
        <w:t xml:space="preserve"> Nonwork Stops as a Function of Telework (N=1920)</w:t>
      </w:r>
    </w:p>
    <w:tbl>
      <w:tblPr>
        <w:tblStyle w:val="TableGrid"/>
        <w:tblW w:w="9381" w:type="dxa"/>
        <w:tblLayout w:type="fixed"/>
        <w:tblLook w:val="04A0" w:firstRow="1" w:lastRow="0" w:firstColumn="1" w:lastColumn="0" w:noHBand="0" w:noVBand="1"/>
      </w:tblPr>
      <w:tblGrid>
        <w:gridCol w:w="2245"/>
        <w:gridCol w:w="980"/>
        <w:gridCol w:w="900"/>
        <w:gridCol w:w="1800"/>
        <w:gridCol w:w="1728"/>
        <w:gridCol w:w="1728"/>
      </w:tblGrid>
      <w:tr w:rsidR="00E465D0" w:rsidRPr="00A2119B" w14:paraId="18A3B661" w14:textId="77777777" w:rsidTr="00A2119B">
        <w:trPr>
          <w:trHeight w:val="690"/>
        </w:trPr>
        <w:tc>
          <w:tcPr>
            <w:tcW w:w="2245" w:type="dxa"/>
            <w:vMerge w:val="restart"/>
            <w:tcBorders>
              <w:top w:val="double" w:sz="4" w:space="0" w:color="auto"/>
              <w:left w:val="double" w:sz="4" w:space="0" w:color="auto"/>
              <w:right w:val="double" w:sz="4" w:space="0" w:color="auto"/>
            </w:tcBorders>
            <w:noWrap/>
            <w:vAlign w:val="bottom"/>
            <w:hideMark/>
          </w:tcPr>
          <w:p w14:paraId="34770AC1" w14:textId="77777777" w:rsidR="00E465D0" w:rsidRPr="00A2119B" w:rsidRDefault="00E465D0" w:rsidP="00302827">
            <w:pPr>
              <w:jc w:val="center"/>
              <w:rPr>
                <w:b/>
                <w:bCs/>
                <w:sz w:val="22"/>
                <w:szCs w:val="22"/>
              </w:rPr>
            </w:pPr>
            <w:bookmarkStart w:id="30" w:name="_Hlk145840107"/>
            <w:r w:rsidRPr="00A2119B">
              <w:rPr>
                <w:b/>
                <w:bCs/>
                <w:sz w:val="22"/>
                <w:szCs w:val="22"/>
              </w:rPr>
              <w:t>Telework Frequency (TF)</w:t>
            </w:r>
          </w:p>
        </w:tc>
        <w:tc>
          <w:tcPr>
            <w:tcW w:w="1880" w:type="dxa"/>
            <w:gridSpan w:val="2"/>
            <w:tcBorders>
              <w:top w:val="double" w:sz="4" w:space="0" w:color="auto"/>
              <w:left w:val="double" w:sz="4" w:space="0" w:color="auto"/>
              <w:bottom w:val="single" w:sz="4" w:space="0" w:color="auto"/>
              <w:right w:val="double" w:sz="4" w:space="0" w:color="auto"/>
            </w:tcBorders>
            <w:vAlign w:val="center"/>
          </w:tcPr>
          <w:p w14:paraId="55E46840" w14:textId="77777777" w:rsidR="00E465D0" w:rsidRPr="00A2119B" w:rsidRDefault="00E465D0" w:rsidP="00A2119B">
            <w:pPr>
              <w:jc w:val="center"/>
              <w:rPr>
                <w:b/>
                <w:bCs/>
                <w:sz w:val="22"/>
                <w:szCs w:val="22"/>
              </w:rPr>
            </w:pPr>
            <w:r w:rsidRPr="00A2119B">
              <w:rPr>
                <w:b/>
                <w:bCs/>
                <w:color w:val="000000"/>
                <w:sz w:val="22"/>
                <w:szCs w:val="22"/>
              </w:rPr>
              <w:t>Portion of the Sample</w:t>
            </w:r>
          </w:p>
        </w:tc>
        <w:tc>
          <w:tcPr>
            <w:tcW w:w="1800" w:type="dxa"/>
            <w:vMerge w:val="restart"/>
            <w:tcBorders>
              <w:top w:val="double" w:sz="4" w:space="0" w:color="auto"/>
              <w:left w:val="double" w:sz="4" w:space="0" w:color="auto"/>
              <w:right w:val="double" w:sz="4" w:space="0" w:color="auto"/>
            </w:tcBorders>
            <w:shd w:val="clear" w:color="auto" w:fill="auto"/>
            <w:noWrap/>
            <w:vAlign w:val="bottom"/>
            <w:hideMark/>
          </w:tcPr>
          <w:p w14:paraId="36804CCC" w14:textId="77777777" w:rsidR="00E465D0" w:rsidRPr="00A2119B" w:rsidRDefault="00E465D0" w:rsidP="00302827">
            <w:pPr>
              <w:jc w:val="center"/>
              <w:rPr>
                <w:b/>
                <w:bCs/>
                <w:sz w:val="22"/>
                <w:szCs w:val="22"/>
              </w:rPr>
            </w:pPr>
            <w:r w:rsidRPr="00A2119B">
              <w:rPr>
                <w:b/>
                <w:bCs/>
                <w:sz w:val="22"/>
                <w:szCs w:val="22"/>
              </w:rPr>
              <w:t>Average # of Weekly Maintenance Stops*</w:t>
            </w:r>
          </w:p>
        </w:tc>
        <w:tc>
          <w:tcPr>
            <w:tcW w:w="1728" w:type="dxa"/>
            <w:vMerge w:val="restart"/>
            <w:tcBorders>
              <w:top w:val="double" w:sz="4" w:space="0" w:color="auto"/>
              <w:left w:val="double" w:sz="4" w:space="0" w:color="auto"/>
              <w:right w:val="double" w:sz="4" w:space="0" w:color="auto"/>
            </w:tcBorders>
            <w:shd w:val="clear" w:color="auto" w:fill="auto"/>
            <w:noWrap/>
            <w:vAlign w:val="bottom"/>
            <w:hideMark/>
          </w:tcPr>
          <w:p w14:paraId="730EF703" w14:textId="77777777" w:rsidR="00E465D0" w:rsidRPr="00A2119B" w:rsidRDefault="00E465D0" w:rsidP="00302827">
            <w:pPr>
              <w:jc w:val="center"/>
              <w:rPr>
                <w:b/>
                <w:bCs/>
                <w:sz w:val="22"/>
                <w:szCs w:val="22"/>
              </w:rPr>
            </w:pPr>
            <w:r w:rsidRPr="00A2119B">
              <w:rPr>
                <w:b/>
                <w:bCs/>
                <w:sz w:val="22"/>
                <w:szCs w:val="22"/>
              </w:rPr>
              <w:t>Average # of Weekly Leisure Stops*</w:t>
            </w:r>
          </w:p>
        </w:tc>
        <w:tc>
          <w:tcPr>
            <w:tcW w:w="1728" w:type="dxa"/>
            <w:vMerge w:val="restart"/>
            <w:tcBorders>
              <w:top w:val="double" w:sz="4" w:space="0" w:color="auto"/>
              <w:right w:val="double" w:sz="4" w:space="0" w:color="auto"/>
            </w:tcBorders>
            <w:shd w:val="clear" w:color="auto" w:fill="auto"/>
            <w:vAlign w:val="bottom"/>
          </w:tcPr>
          <w:p w14:paraId="2027242E" w14:textId="77777777" w:rsidR="00E465D0" w:rsidRPr="00A2119B" w:rsidRDefault="00E465D0" w:rsidP="00302827">
            <w:pPr>
              <w:jc w:val="center"/>
              <w:rPr>
                <w:b/>
                <w:bCs/>
                <w:sz w:val="22"/>
                <w:szCs w:val="22"/>
              </w:rPr>
            </w:pPr>
            <w:r w:rsidRPr="00A2119B">
              <w:rPr>
                <w:b/>
                <w:bCs/>
                <w:sz w:val="22"/>
                <w:szCs w:val="22"/>
              </w:rPr>
              <w:t>Average # of Total Nonwork Stops</w:t>
            </w:r>
          </w:p>
        </w:tc>
      </w:tr>
      <w:tr w:rsidR="00E465D0" w:rsidRPr="00A2119B" w14:paraId="4844F752" w14:textId="77777777" w:rsidTr="00A2119B">
        <w:trPr>
          <w:trHeight w:val="144"/>
        </w:trPr>
        <w:tc>
          <w:tcPr>
            <w:tcW w:w="2245" w:type="dxa"/>
            <w:vMerge/>
            <w:tcBorders>
              <w:left w:val="double" w:sz="4" w:space="0" w:color="auto"/>
              <w:bottom w:val="double" w:sz="4" w:space="0" w:color="auto"/>
              <w:right w:val="double" w:sz="4" w:space="0" w:color="auto"/>
            </w:tcBorders>
            <w:noWrap/>
            <w:vAlign w:val="bottom"/>
          </w:tcPr>
          <w:p w14:paraId="5B986D85" w14:textId="77777777" w:rsidR="00E465D0" w:rsidRPr="00A2119B" w:rsidRDefault="00E465D0" w:rsidP="00302827">
            <w:pPr>
              <w:rPr>
                <w:b/>
                <w:bCs/>
                <w:sz w:val="22"/>
                <w:szCs w:val="22"/>
              </w:rPr>
            </w:pPr>
          </w:p>
        </w:tc>
        <w:tc>
          <w:tcPr>
            <w:tcW w:w="980" w:type="dxa"/>
            <w:tcBorders>
              <w:top w:val="single" w:sz="4" w:space="0" w:color="auto"/>
              <w:left w:val="double" w:sz="4" w:space="0" w:color="auto"/>
              <w:bottom w:val="double" w:sz="4" w:space="0" w:color="auto"/>
              <w:right w:val="single" w:sz="4" w:space="0" w:color="auto"/>
            </w:tcBorders>
            <w:vAlign w:val="bottom"/>
          </w:tcPr>
          <w:p w14:paraId="01AE6FB2" w14:textId="77777777" w:rsidR="00E465D0" w:rsidRPr="00A2119B" w:rsidRDefault="00E465D0" w:rsidP="00302827">
            <w:pPr>
              <w:jc w:val="center"/>
              <w:rPr>
                <w:b/>
                <w:bCs/>
                <w:color w:val="000000"/>
                <w:sz w:val="22"/>
                <w:szCs w:val="22"/>
              </w:rPr>
            </w:pPr>
            <w:r w:rsidRPr="00A2119B">
              <w:rPr>
                <w:b/>
                <w:bCs/>
                <w:color w:val="000000"/>
                <w:sz w:val="22"/>
                <w:szCs w:val="22"/>
              </w:rPr>
              <w:t>Count</w:t>
            </w:r>
          </w:p>
        </w:tc>
        <w:tc>
          <w:tcPr>
            <w:tcW w:w="900" w:type="dxa"/>
            <w:tcBorders>
              <w:top w:val="single" w:sz="4" w:space="0" w:color="auto"/>
              <w:left w:val="single" w:sz="4" w:space="0" w:color="auto"/>
              <w:bottom w:val="double" w:sz="4" w:space="0" w:color="auto"/>
              <w:right w:val="double" w:sz="4" w:space="0" w:color="auto"/>
            </w:tcBorders>
            <w:vAlign w:val="bottom"/>
          </w:tcPr>
          <w:p w14:paraId="1BFFB41E" w14:textId="77777777" w:rsidR="00E465D0" w:rsidRPr="00A2119B" w:rsidRDefault="00E465D0" w:rsidP="00302827">
            <w:pPr>
              <w:jc w:val="center"/>
              <w:rPr>
                <w:b/>
                <w:bCs/>
                <w:color w:val="000000"/>
                <w:sz w:val="22"/>
                <w:szCs w:val="22"/>
              </w:rPr>
            </w:pPr>
            <w:r w:rsidRPr="00A2119B">
              <w:rPr>
                <w:b/>
                <w:bCs/>
                <w:color w:val="000000"/>
                <w:sz w:val="22"/>
                <w:szCs w:val="22"/>
              </w:rPr>
              <w:t>%</w:t>
            </w:r>
          </w:p>
        </w:tc>
        <w:tc>
          <w:tcPr>
            <w:tcW w:w="1800" w:type="dxa"/>
            <w:vMerge/>
            <w:tcBorders>
              <w:left w:val="double" w:sz="4" w:space="0" w:color="auto"/>
              <w:bottom w:val="double" w:sz="4" w:space="0" w:color="auto"/>
              <w:right w:val="double" w:sz="4" w:space="0" w:color="auto"/>
            </w:tcBorders>
            <w:shd w:val="clear" w:color="auto" w:fill="auto"/>
            <w:noWrap/>
            <w:vAlign w:val="bottom"/>
          </w:tcPr>
          <w:p w14:paraId="3BAD9C12" w14:textId="77777777" w:rsidR="00E465D0" w:rsidRPr="00A2119B" w:rsidRDefault="00E465D0" w:rsidP="00302827">
            <w:pPr>
              <w:jc w:val="center"/>
              <w:rPr>
                <w:b/>
                <w:bCs/>
                <w:sz w:val="22"/>
                <w:szCs w:val="22"/>
              </w:rPr>
            </w:pPr>
          </w:p>
        </w:tc>
        <w:tc>
          <w:tcPr>
            <w:tcW w:w="1728" w:type="dxa"/>
            <w:vMerge/>
            <w:tcBorders>
              <w:left w:val="double" w:sz="4" w:space="0" w:color="auto"/>
              <w:bottom w:val="double" w:sz="4" w:space="0" w:color="auto"/>
              <w:right w:val="double" w:sz="4" w:space="0" w:color="auto"/>
            </w:tcBorders>
            <w:shd w:val="clear" w:color="auto" w:fill="auto"/>
            <w:noWrap/>
            <w:vAlign w:val="bottom"/>
          </w:tcPr>
          <w:p w14:paraId="0E493FB9" w14:textId="77777777" w:rsidR="00E465D0" w:rsidRPr="00A2119B" w:rsidRDefault="00E465D0" w:rsidP="00302827">
            <w:pPr>
              <w:jc w:val="center"/>
              <w:rPr>
                <w:b/>
                <w:bCs/>
                <w:sz w:val="22"/>
                <w:szCs w:val="22"/>
              </w:rPr>
            </w:pPr>
          </w:p>
        </w:tc>
        <w:tc>
          <w:tcPr>
            <w:tcW w:w="1728" w:type="dxa"/>
            <w:vMerge/>
            <w:tcBorders>
              <w:bottom w:val="double" w:sz="4" w:space="0" w:color="auto"/>
              <w:right w:val="double" w:sz="4" w:space="0" w:color="auto"/>
            </w:tcBorders>
            <w:shd w:val="clear" w:color="auto" w:fill="auto"/>
          </w:tcPr>
          <w:p w14:paraId="2B1E663D" w14:textId="77777777" w:rsidR="00E465D0" w:rsidRPr="00A2119B" w:rsidRDefault="00E465D0" w:rsidP="00302827">
            <w:pPr>
              <w:jc w:val="center"/>
              <w:rPr>
                <w:b/>
                <w:bCs/>
                <w:sz w:val="22"/>
                <w:szCs w:val="22"/>
              </w:rPr>
            </w:pPr>
          </w:p>
        </w:tc>
      </w:tr>
      <w:tr w:rsidR="00200AA4" w:rsidRPr="00A2119B" w14:paraId="2967BAA2" w14:textId="77777777" w:rsidTr="00AB236A">
        <w:trPr>
          <w:trHeight w:val="403"/>
        </w:trPr>
        <w:tc>
          <w:tcPr>
            <w:tcW w:w="2245" w:type="dxa"/>
            <w:tcBorders>
              <w:top w:val="double" w:sz="4" w:space="0" w:color="auto"/>
              <w:left w:val="double" w:sz="4" w:space="0" w:color="auto"/>
              <w:right w:val="double" w:sz="4" w:space="0" w:color="auto"/>
            </w:tcBorders>
            <w:noWrap/>
            <w:vAlign w:val="center"/>
            <w:hideMark/>
          </w:tcPr>
          <w:p w14:paraId="18D0D15E" w14:textId="77777777" w:rsidR="00200AA4" w:rsidRPr="00A2119B" w:rsidRDefault="00200AA4" w:rsidP="00A2119B">
            <w:pPr>
              <w:jc w:val="left"/>
              <w:rPr>
                <w:b/>
                <w:bCs/>
                <w:sz w:val="22"/>
                <w:szCs w:val="22"/>
              </w:rPr>
            </w:pPr>
            <w:r w:rsidRPr="00A2119B">
              <w:rPr>
                <w:b/>
                <w:bCs/>
                <w:sz w:val="22"/>
                <w:szCs w:val="22"/>
              </w:rPr>
              <w:t>Never</w:t>
            </w:r>
          </w:p>
        </w:tc>
        <w:tc>
          <w:tcPr>
            <w:tcW w:w="980" w:type="dxa"/>
            <w:tcBorders>
              <w:top w:val="double" w:sz="4" w:space="0" w:color="auto"/>
              <w:left w:val="double" w:sz="4" w:space="0" w:color="auto"/>
              <w:right w:val="single" w:sz="4" w:space="0" w:color="auto"/>
            </w:tcBorders>
            <w:vAlign w:val="center"/>
          </w:tcPr>
          <w:p w14:paraId="1DFCCF0E" w14:textId="77777777" w:rsidR="00200AA4" w:rsidRPr="00A2119B" w:rsidRDefault="00200AA4" w:rsidP="00A2119B">
            <w:pPr>
              <w:ind w:right="165"/>
              <w:jc w:val="right"/>
              <w:rPr>
                <w:color w:val="000000"/>
                <w:sz w:val="22"/>
                <w:szCs w:val="22"/>
              </w:rPr>
            </w:pPr>
            <w:r w:rsidRPr="00A2119B">
              <w:rPr>
                <w:sz w:val="22"/>
                <w:szCs w:val="22"/>
              </w:rPr>
              <w:t>875</w:t>
            </w:r>
          </w:p>
        </w:tc>
        <w:tc>
          <w:tcPr>
            <w:tcW w:w="900" w:type="dxa"/>
            <w:tcBorders>
              <w:top w:val="double" w:sz="4" w:space="0" w:color="auto"/>
              <w:left w:val="single" w:sz="4" w:space="0" w:color="auto"/>
              <w:right w:val="double" w:sz="4" w:space="0" w:color="auto"/>
            </w:tcBorders>
            <w:vAlign w:val="center"/>
          </w:tcPr>
          <w:p w14:paraId="069FFFA4" w14:textId="77777777" w:rsidR="00200AA4" w:rsidRPr="00A2119B" w:rsidRDefault="00200AA4" w:rsidP="00200AA4">
            <w:pPr>
              <w:ind w:right="165"/>
              <w:jc w:val="right"/>
              <w:rPr>
                <w:sz w:val="22"/>
                <w:szCs w:val="22"/>
              </w:rPr>
            </w:pPr>
            <w:r w:rsidRPr="00A2119B">
              <w:rPr>
                <w:color w:val="000000"/>
                <w:sz w:val="22"/>
                <w:szCs w:val="22"/>
              </w:rPr>
              <w:t>45.6</w:t>
            </w:r>
          </w:p>
        </w:tc>
        <w:tc>
          <w:tcPr>
            <w:tcW w:w="1800" w:type="dxa"/>
            <w:tcBorders>
              <w:top w:val="double" w:sz="4" w:space="0" w:color="auto"/>
              <w:left w:val="double" w:sz="4" w:space="0" w:color="auto"/>
              <w:right w:val="double" w:sz="4" w:space="0" w:color="auto"/>
            </w:tcBorders>
            <w:shd w:val="clear" w:color="auto" w:fill="auto"/>
            <w:noWrap/>
            <w:vAlign w:val="center"/>
          </w:tcPr>
          <w:p w14:paraId="431EE8DB" w14:textId="77777777" w:rsidR="00200AA4" w:rsidRPr="00A2119B" w:rsidRDefault="00200AA4" w:rsidP="00A2119B">
            <w:pPr>
              <w:ind w:right="525"/>
              <w:jc w:val="right"/>
              <w:rPr>
                <w:sz w:val="22"/>
                <w:szCs w:val="22"/>
              </w:rPr>
            </w:pPr>
            <w:r w:rsidRPr="00A2119B">
              <w:rPr>
                <w:sz w:val="22"/>
                <w:szCs w:val="22"/>
              </w:rPr>
              <w:t>3.92</w:t>
            </w:r>
          </w:p>
        </w:tc>
        <w:tc>
          <w:tcPr>
            <w:tcW w:w="1728" w:type="dxa"/>
            <w:tcBorders>
              <w:top w:val="double" w:sz="4" w:space="0" w:color="auto"/>
              <w:left w:val="double" w:sz="4" w:space="0" w:color="auto"/>
              <w:right w:val="double" w:sz="4" w:space="0" w:color="auto"/>
            </w:tcBorders>
            <w:shd w:val="clear" w:color="auto" w:fill="auto"/>
            <w:noWrap/>
            <w:vAlign w:val="center"/>
          </w:tcPr>
          <w:p w14:paraId="13D7EED4" w14:textId="77777777" w:rsidR="00200AA4" w:rsidRPr="00A2119B" w:rsidRDefault="00200AA4" w:rsidP="00A2119B">
            <w:pPr>
              <w:ind w:right="435"/>
              <w:jc w:val="right"/>
              <w:rPr>
                <w:sz w:val="22"/>
                <w:szCs w:val="22"/>
              </w:rPr>
            </w:pPr>
            <w:r w:rsidRPr="00A2119B">
              <w:rPr>
                <w:sz w:val="22"/>
                <w:szCs w:val="22"/>
              </w:rPr>
              <w:t>5.06</w:t>
            </w:r>
          </w:p>
        </w:tc>
        <w:tc>
          <w:tcPr>
            <w:tcW w:w="1728" w:type="dxa"/>
            <w:tcBorders>
              <w:top w:val="double" w:sz="4" w:space="0" w:color="auto"/>
              <w:right w:val="double" w:sz="4" w:space="0" w:color="auto"/>
            </w:tcBorders>
            <w:shd w:val="clear" w:color="auto" w:fill="auto"/>
            <w:vAlign w:val="center"/>
          </w:tcPr>
          <w:p w14:paraId="5DF2099D" w14:textId="170B42C9" w:rsidR="00200AA4" w:rsidRPr="00A2119B" w:rsidRDefault="00200AA4" w:rsidP="00A2119B">
            <w:pPr>
              <w:tabs>
                <w:tab w:val="left" w:pos="871"/>
              </w:tabs>
              <w:ind w:right="526"/>
              <w:jc w:val="right"/>
              <w:rPr>
                <w:sz w:val="22"/>
                <w:szCs w:val="22"/>
              </w:rPr>
            </w:pPr>
            <w:r w:rsidRPr="00A2119B">
              <w:rPr>
                <w:sz w:val="22"/>
                <w:szCs w:val="22"/>
              </w:rPr>
              <w:t>8.98</w:t>
            </w:r>
          </w:p>
        </w:tc>
      </w:tr>
      <w:tr w:rsidR="00200AA4" w:rsidRPr="00A2119B" w14:paraId="4399E45A" w14:textId="77777777" w:rsidTr="00AB236A">
        <w:trPr>
          <w:trHeight w:val="403"/>
        </w:trPr>
        <w:tc>
          <w:tcPr>
            <w:tcW w:w="2245" w:type="dxa"/>
            <w:tcBorders>
              <w:left w:val="double" w:sz="4" w:space="0" w:color="auto"/>
              <w:right w:val="double" w:sz="4" w:space="0" w:color="auto"/>
            </w:tcBorders>
            <w:noWrap/>
            <w:vAlign w:val="center"/>
            <w:hideMark/>
          </w:tcPr>
          <w:p w14:paraId="0B6F903A" w14:textId="77777777" w:rsidR="00200AA4" w:rsidRPr="00A2119B" w:rsidRDefault="00200AA4" w:rsidP="00A2119B">
            <w:pPr>
              <w:jc w:val="left"/>
              <w:rPr>
                <w:b/>
                <w:bCs/>
                <w:sz w:val="22"/>
                <w:szCs w:val="22"/>
              </w:rPr>
            </w:pPr>
            <w:r w:rsidRPr="00A2119B">
              <w:rPr>
                <w:b/>
                <w:bCs/>
                <w:sz w:val="22"/>
                <w:szCs w:val="22"/>
              </w:rPr>
              <w:t>Less than Monthly</w:t>
            </w:r>
          </w:p>
        </w:tc>
        <w:tc>
          <w:tcPr>
            <w:tcW w:w="980" w:type="dxa"/>
            <w:tcBorders>
              <w:left w:val="double" w:sz="4" w:space="0" w:color="auto"/>
              <w:right w:val="single" w:sz="4" w:space="0" w:color="auto"/>
            </w:tcBorders>
            <w:vAlign w:val="center"/>
          </w:tcPr>
          <w:p w14:paraId="51FCBD76" w14:textId="77777777" w:rsidR="00200AA4" w:rsidRPr="00A2119B" w:rsidRDefault="00200AA4" w:rsidP="00A2119B">
            <w:pPr>
              <w:ind w:right="165"/>
              <w:jc w:val="right"/>
              <w:rPr>
                <w:color w:val="000000"/>
                <w:sz w:val="22"/>
                <w:szCs w:val="22"/>
              </w:rPr>
            </w:pPr>
            <w:r w:rsidRPr="00A2119B">
              <w:rPr>
                <w:sz w:val="22"/>
                <w:szCs w:val="22"/>
              </w:rPr>
              <w:t>146</w:t>
            </w:r>
          </w:p>
        </w:tc>
        <w:tc>
          <w:tcPr>
            <w:tcW w:w="900" w:type="dxa"/>
            <w:tcBorders>
              <w:left w:val="single" w:sz="4" w:space="0" w:color="auto"/>
              <w:right w:val="double" w:sz="4" w:space="0" w:color="auto"/>
            </w:tcBorders>
            <w:vAlign w:val="center"/>
          </w:tcPr>
          <w:p w14:paraId="67FD4124" w14:textId="77777777" w:rsidR="00200AA4" w:rsidRPr="00A2119B" w:rsidRDefault="00200AA4" w:rsidP="00200AA4">
            <w:pPr>
              <w:tabs>
                <w:tab w:val="left" w:pos="480"/>
              </w:tabs>
              <w:ind w:right="165"/>
              <w:jc w:val="right"/>
              <w:rPr>
                <w:sz w:val="22"/>
                <w:szCs w:val="22"/>
              </w:rPr>
            </w:pPr>
            <w:r w:rsidRPr="00A2119B">
              <w:rPr>
                <w:color w:val="000000"/>
                <w:sz w:val="22"/>
                <w:szCs w:val="22"/>
              </w:rPr>
              <w:t>7.6</w:t>
            </w:r>
          </w:p>
        </w:tc>
        <w:tc>
          <w:tcPr>
            <w:tcW w:w="1800" w:type="dxa"/>
            <w:tcBorders>
              <w:left w:val="double" w:sz="4" w:space="0" w:color="auto"/>
              <w:right w:val="double" w:sz="4" w:space="0" w:color="auto"/>
            </w:tcBorders>
            <w:shd w:val="clear" w:color="auto" w:fill="auto"/>
            <w:noWrap/>
            <w:vAlign w:val="center"/>
          </w:tcPr>
          <w:p w14:paraId="79B8E3C8" w14:textId="77777777" w:rsidR="00200AA4" w:rsidRPr="00A2119B" w:rsidRDefault="00200AA4" w:rsidP="00A2119B">
            <w:pPr>
              <w:ind w:right="525"/>
              <w:jc w:val="right"/>
              <w:rPr>
                <w:sz w:val="22"/>
                <w:szCs w:val="22"/>
              </w:rPr>
            </w:pPr>
            <w:r w:rsidRPr="00A2119B">
              <w:rPr>
                <w:sz w:val="22"/>
                <w:szCs w:val="22"/>
              </w:rPr>
              <w:t>3.72</w:t>
            </w:r>
          </w:p>
        </w:tc>
        <w:tc>
          <w:tcPr>
            <w:tcW w:w="1728" w:type="dxa"/>
            <w:tcBorders>
              <w:left w:val="double" w:sz="4" w:space="0" w:color="auto"/>
              <w:right w:val="double" w:sz="4" w:space="0" w:color="auto"/>
            </w:tcBorders>
            <w:shd w:val="clear" w:color="auto" w:fill="auto"/>
            <w:noWrap/>
            <w:vAlign w:val="center"/>
          </w:tcPr>
          <w:p w14:paraId="45076A77" w14:textId="77777777" w:rsidR="00200AA4" w:rsidRPr="00A2119B" w:rsidRDefault="00200AA4" w:rsidP="00A2119B">
            <w:pPr>
              <w:ind w:right="435"/>
              <w:jc w:val="right"/>
              <w:rPr>
                <w:sz w:val="22"/>
                <w:szCs w:val="22"/>
              </w:rPr>
            </w:pPr>
            <w:r w:rsidRPr="00A2119B">
              <w:rPr>
                <w:sz w:val="22"/>
                <w:szCs w:val="22"/>
              </w:rPr>
              <w:t>5.08</w:t>
            </w:r>
          </w:p>
        </w:tc>
        <w:tc>
          <w:tcPr>
            <w:tcW w:w="1728" w:type="dxa"/>
            <w:tcBorders>
              <w:right w:val="double" w:sz="4" w:space="0" w:color="auto"/>
            </w:tcBorders>
            <w:shd w:val="clear" w:color="auto" w:fill="auto"/>
            <w:vAlign w:val="center"/>
          </w:tcPr>
          <w:p w14:paraId="488C25FB" w14:textId="346AADB5" w:rsidR="00200AA4" w:rsidRPr="00A2119B" w:rsidRDefault="00200AA4" w:rsidP="00A2119B">
            <w:pPr>
              <w:tabs>
                <w:tab w:val="left" w:pos="871"/>
              </w:tabs>
              <w:ind w:right="526"/>
              <w:jc w:val="right"/>
              <w:rPr>
                <w:sz w:val="22"/>
                <w:szCs w:val="22"/>
              </w:rPr>
            </w:pPr>
            <w:r w:rsidRPr="00A2119B">
              <w:rPr>
                <w:sz w:val="22"/>
                <w:szCs w:val="22"/>
              </w:rPr>
              <w:t>8.80</w:t>
            </w:r>
          </w:p>
        </w:tc>
      </w:tr>
      <w:tr w:rsidR="00200AA4" w:rsidRPr="00A2119B" w14:paraId="73AE24EA" w14:textId="77777777" w:rsidTr="00AB236A">
        <w:trPr>
          <w:trHeight w:val="403"/>
        </w:trPr>
        <w:tc>
          <w:tcPr>
            <w:tcW w:w="2245" w:type="dxa"/>
            <w:tcBorders>
              <w:left w:val="double" w:sz="4" w:space="0" w:color="auto"/>
              <w:right w:val="double" w:sz="4" w:space="0" w:color="auto"/>
            </w:tcBorders>
            <w:noWrap/>
            <w:vAlign w:val="center"/>
            <w:hideMark/>
          </w:tcPr>
          <w:p w14:paraId="01DA2631" w14:textId="5F76E6E5" w:rsidR="00200AA4" w:rsidRPr="00A2119B" w:rsidRDefault="002248E4" w:rsidP="00A2119B">
            <w:pPr>
              <w:jc w:val="left"/>
              <w:rPr>
                <w:b/>
                <w:bCs/>
                <w:color w:val="FF0000"/>
                <w:sz w:val="22"/>
                <w:szCs w:val="22"/>
              </w:rPr>
            </w:pPr>
            <w:r w:rsidRPr="00A2119B">
              <w:rPr>
                <w:b/>
                <w:bCs/>
                <w:sz w:val="22"/>
                <w:szCs w:val="22"/>
              </w:rPr>
              <w:t xml:space="preserve">1-3 </w:t>
            </w:r>
            <w:r w:rsidR="006D74A1" w:rsidRPr="00A2119B">
              <w:rPr>
                <w:b/>
                <w:bCs/>
                <w:sz w:val="22"/>
                <w:szCs w:val="22"/>
              </w:rPr>
              <w:t>D</w:t>
            </w:r>
            <w:r w:rsidRPr="00A2119B">
              <w:rPr>
                <w:b/>
                <w:bCs/>
                <w:sz w:val="22"/>
                <w:szCs w:val="22"/>
              </w:rPr>
              <w:t>ays a Month</w:t>
            </w:r>
          </w:p>
        </w:tc>
        <w:tc>
          <w:tcPr>
            <w:tcW w:w="980" w:type="dxa"/>
            <w:tcBorders>
              <w:left w:val="double" w:sz="4" w:space="0" w:color="auto"/>
              <w:right w:val="single" w:sz="4" w:space="0" w:color="auto"/>
            </w:tcBorders>
            <w:vAlign w:val="center"/>
          </w:tcPr>
          <w:p w14:paraId="28F7E2F2" w14:textId="77777777" w:rsidR="00200AA4" w:rsidRPr="00A2119B" w:rsidRDefault="00200AA4" w:rsidP="00A2119B">
            <w:pPr>
              <w:ind w:right="165"/>
              <w:jc w:val="right"/>
              <w:rPr>
                <w:color w:val="000000"/>
                <w:sz w:val="22"/>
                <w:szCs w:val="22"/>
              </w:rPr>
            </w:pPr>
            <w:r w:rsidRPr="00A2119B">
              <w:rPr>
                <w:sz w:val="22"/>
                <w:szCs w:val="22"/>
              </w:rPr>
              <w:t>127</w:t>
            </w:r>
          </w:p>
        </w:tc>
        <w:tc>
          <w:tcPr>
            <w:tcW w:w="900" w:type="dxa"/>
            <w:tcBorders>
              <w:left w:val="single" w:sz="4" w:space="0" w:color="auto"/>
              <w:right w:val="double" w:sz="4" w:space="0" w:color="auto"/>
            </w:tcBorders>
            <w:vAlign w:val="center"/>
          </w:tcPr>
          <w:p w14:paraId="48CA19C9" w14:textId="77777777" w:rsidR="00200AA4" w:rsidRPr="00A2119B" w:rsidRDefault="00200AA4" w:rsidP="00200AA4">
            <w:pPr>
              <w:tabs>
                <w:tab w:val="left" w:pos="480"/>
              </w:tabs>
              <w:ind w:right="165"/>
              <w:jc w:val="right"/>
              <w:rPr>
                <w:sz w:val="22"/>
                <w:szCs w:val="22"/>
              </w:rPr>
            </w:pPr>
            <w:r w:rsidRPr="00A2119B">
              <w:rPr>
                <w:color w:val="000000"/>
                <w:sz w:val="22"/>
                <w:szCs w:val="22"/>
              </w:rPr>
              <w:t>6.6</w:t>
            </w:r>
          </w:p>
        </w:tc>
        <w:tc>
          <w:tcPr>
            <w:tcW w:w="1800" w:type="dxa"/>
            <w:tcBorders>
              <w:left w:val="double" w:sz="4" w:space="0" w:color="auto"/>
              <w:right w:val="double" w:sz="4" w:space="0" w:color="auto"/>
            </w:tcBorders>
            <w:shd w:val="clear" w:color="auto" w:fill="auto"/>
            <w:noWrap/>
            <w:vAlign w:val="center"/>
          </w:tcPr>
          <w:p w14:paraId="0C4C0386" w14:textId="77777777" w:rsidR="00200AA4" w:rsidRPr="00A2119B" w:rsidRDefault="00200AA4" w:rsidP="00A2119B">
            <w:pPr>
              <w:ind w:right="525"/>
              <w:jc w:val="right"/>
              <w:rPr>
                <w:sz w:val="22"/>
                <w:szCs w:val="22"/>
              </w:rPr>
            </w:pPr>
            <w:r w:rsidRPr="00A2119B">
              <w:rPr>
                <w:sz w:val="22"/>
                <w:szCs w:val="22"/>
              </w:rPr>
              <w:t>4.20</w:t>
            </w:r>
          </w:p>
        </w:tc>
        <w:tc>
          <w:tcPr>
            <w:tcW w:w="1728" w:type="dxa"/>
            <w:tcBorders>
              <w:left w:val="double" w:sz="4" w:space="0" w:color="auto"/>
              <w:right w:val="double" w:sz="4" w:space="0" w:color="auto"/>
            </w:tcBorders>
            <w:shd w:val="clear" w:color="auto" w:fill="auto"/>
            <w:noWrap/>
            <w:vAlign w:val="center"/>
          </w:tcPr>
          <w:p w14:paraId="5B2FD470" w14:textId="77777777" w:rsidR="00200AA4" w:rsidRPr="00A2119B" w:rsidRDefault="00200AA4" w:rsidP="00A2119B">
            <w:pPr>
              <w:ind w:right="435"/>
              <w:jc w:val="right"/>
              <w:rPr>
                <w:sz w:val="22"/>
                <w:szCs w:val="22"/>
              </w:rPr>
            </w:pPr>
            <w:r w:rsidRPr="00A2119B">
              <w:rPr>
                <w:sz w:val="22"/>
                <w:szCs w:val="22"/>
              </w:rPr>
              <w:t>6.06</w:t>
            </w:r>
          </w:p>
        </w:tc>
        <w:tc>
          <w:tcPr>
            <w:tcW w:w="1728" w:type="dxa"/>
            <w:tcBorders>
              <w:right w:val="double" w:sz="4" w:space="0" w:color="auto"/>
            </w:tcBorders>
            <w:shd w:val="clear" w:color="auto" w:fill="auto"/>
            <w:vAlign w:val="center"/>
          </w:tcPr>
          <w:p w14:paraId="54F5C5B2" w14:textId="20445EB1" w:rsidR="00200AA4" w:rsidRPr="00A2119B" w:rsidRDefault="00200AA4" w:rsidP="00A2119B">
            <w:pPr>
              <w:tabs>
                <w:tab w:val="left" w:pos="871"/>
              </w:tabs>
              <w:ind w:right="526"/>
              <w:jc w:val="right"/>
              <w:rPr>
                <w:sz w:val="22"/>
                <w:szCs w:val="22"/>
              </w:rPr>
            </w:pPr>
            <w:r w:rsidRPr="00A2119B">
              <w:rPr>
                <w:sz w:val="22"/>
                <w:szCs w:val="22"/>
              </w:rPr>
              <w:t>10.26</w:t>
            </w:r>
          </w:p>
        </w:tc>
      </w:tr>
      <w:tr w:rsidR="00200AA4" w:rsidRPr="00A2119B" w14:paraId="44F8CD5F" w14:textId="77777777" w:rsidTr="00AB236A">
        <w:trPr>
          <w:trHeight w:val="403"/>
        </w:trPr>
        <w:tc>
          <w:tcPr>
            <w:tcW w:w="2245" w:type="dxa"/>
            <w:tcBorders>
              <w:left w:val="double" w:sz="4" w:space="0" w:color="auto"/>
              <w:right w:val="double" w:sz="4" w:space="0" w:color="auto"/>
            </w:tcBorders>
            <w:noWrap/>
            <w:vAlign w:val="center"/>
            <w:hideMark/>
          </w:tcPr>
          <w:p w14:paraId="7ACB0A62" w14:textId="77777777" w:rsidR="00200AA4" w:rsidRPr="00A2119B" w:rsidRDefault="00200AA4" w:rsidP="00A2119B">
            <w:pPr>
              <w:jc w:val="left"/>
              <w:rPr>
                <w:b/>
                <w:bCs/>
                <w:sz w:val="22"/>
                <w:szCs w:val="22"/>
              </w:rPr>
            </w:pPr>
            <w:r w:rsidRPr="00A2119B">
              <w:rPr>
                <w:b/>
                <w:bCs/>
                <w:sz w:val="22"/>
                <w:szCs w:val="22"/>
              </w:rPr>
              <w:t>1 Day a Week</w:t>
            </w:r>
          </w:p>
        </w:tc>
        <w:tc>
          <w:tcPr>
            <w:tcW w:w="980" w:type="dxa"/>
            <w:tcBorders>
              <w:left w:val="double" w:sz="4" w:space="0" w:color="auto"/>
              <w:right w:val="single" w:sz="4" w:space="0" w:color="auto"/>
            </w:tcBorders>
            <w:vAlign w:val="center"/>
          </w:tcPr>
          <w:p w14:paraId="5A5A48A9" w14:textId="77777777" w:rsidR="00200AA4" w:rsidRPr="00A2119B" w:rsidRDefault="00200AA4" w:rsidP="00A2119B">
            <w:pPr>
              <w:ind w:right="165"/>
              <w:jc w:val="right"/>
              <w:rPr>
                <w:color w:val="000000"/>
                <w:sz w:val="22"/>
                <w:szCs w:val="22"/>
              </w:rPr>
            </w:pPr>
            <w:r w:rsidRPr="00A2119B">
              <w:rPr>
                <w:sz w:val="22"/>
                <w:szCs w:val="22"/>
              </w:rPr>
              <w:t>101</w:t>
            </w:r>
          </w:p>
        </w:tc>
        <w:tc>
          <w:tcPr>
            <w:tcW w:w="900" w:type="dxa"/>
            <w:tcBorders>
              <w:left w:val="single" w:sz="4" w:space="0" w:color="auto"/>
              <w:right w:val="double" w:sz="4" w:space="0" w:color="auto"/>
            </w:tcBorders>
            <w:vAlign w:val="center"/>
          </w:tcPr>
          <w:p w14:paraId="54A26D5C" w14:textId="77777777" w:rsidR="00200AA4" w:rsidRPr="00A2119B" w:rsidRDefault="00200AA4" w:rsidP="00200AA4">
            <w:pPr>
              <w:tabs>
                <w:tab w:val="left" w:pos="480"/>
              </w:tabs>
              <w:ind w:right="165"/>
              <w:jc w:val="right"/>
              <w:rPr>
                <w:sz w:val="22"/>
                <w:szCs w:val="22"/>
              </w:rPr>
            </w:pPr>
            <w:r w:rsidRPr="00A2119B">
              <w:rPr>
                <w:color w:val="000000"/>
                <w:sz w:val="22"/>
                <w:szCs w:val="22"/>
              </w:rPr>
              <w:t>5.3</w:t>
            </w:r>
          </w:p>
        </w:tc>
        <w:tc>
          <w:tcPr>
            <w:tcW w:w="1800" w:type="dxa"/>
            <w:tcBorders>
              <w:left w:val="double" w:sz="4" w:space="0" w:color="auto"/>
              <w:right w:val="double" w:sz="4" w:space="0" w:color="auto"/>
            </w:tcBorders>
            <w:shd w:val="clear" w:color="auto" w:fill="auto"/>
            <w:noWrap/>
            <w:vAlign w:val="center"/>
          </w:tcPr>
          <w:p w14:paraId="764A46D3" w14:textId="77777777" w:rsidR="00200AA4" w:rsidRPr="00A2119B" w:rsidRDefault="00200AA4" w:rsidP="00A2119B">
            <w:pPr>
              <w:ind w:right="525"/>
              <w:jc w:val="right"/>
              <w:rPr>
                <w:sz w:val="22"/>
                <w:szCs w:val="22"/>
              </w:rPr>
            </w:pPr>
            <w:r w:rsidRPr="00A2119B">
              <w:rPr>
                <w:sz w:val="22"/>
                <w:szCs w:val="22"/>
              </w:rPr>
              <w:t>3.51</w:t>
            </w:r>
          </w:p>
        </w:tc>
        <w:tc>
          <w:tcPr>
            <w:tcW w:w="1728" w:type="dxa"/>
            <w:tcBorders>
              <w:left w:val="double" w:sz="4" w:space="0" w:color="auto"/>
              <w:right w:val="double" w:sz="4" w:space="0" w:color="auto"/>
            </w:tcBorders>
            <w:shd w:val="clear" w:color="auto" w:fill="auto"/>
            <w:noWrap/>
            <w:vAlign w:val="center"/>
          </w:tcPr>
          <w:p w14:paraId="1A8BF5C8" w14:textId="77777777" w:rsidR="00200AA4" w:rsidRPr="00A2119B" w:rsidRDefault="00200AA4" w:rsidP="00A2119B">
            <w:pPr>
              <w:ind w:right="435"/>
              <w:jc w:val="right"/>
              <w:rPr>
                <w:sz w:val="22"/>
                <w:szCs w:val="22"/>
              </w:rPr>
            </w:pPr>
            <w:r w:rsidRPr="00A2119B">
              <w:rPr>
                <w:sz w:val="22"/>
                <w:szCs w:val="22"/>
              </w:rPr>
              <w:t>5.80</w:t>
            </w:r>
          </w:p>
        </w:tc>
        <w:tc>
          <w:tcPr>
            <w:tcW w:w="1728" w:type="dxa"/>
            <w:tcBorders>
              <w:right w:val="double" w:sz="4" w:space="0" w:color="auto"/>
            </w:tcBorders>
            <w:shd w:val="clear" w:color="auto" w:fill="auto"/>
            <w:vAlign w:val="center"/>
          </w:tcPr>
          <w:p w14:paraId="0660A724" w14:textId="3F8EDD74" w:rsidR="00200AA4" w:rsidRPr="00A2119B" w:rsidRDefault="00200AA4" w:rsidP="00A2119B">
            <w:pPr>
              <w:tabs>
                <w:tab w:val="left" w:pos="871"/>
              </w:tabs>
              <w:ind w:right="526"/>
              <w:jc w:val="right"/>
              <w:rPr>
                <w:sz w:val="22"/>
                <w:szCs w:val="22"/>
              </w:rPr>
            </w:pPr>
            <w:r w:rsidRPr="00A2119B">
              <w:rPr>
                <w:sz w:val="22"/>
                <w:szCs w:val="22"/>
              </w:rPr>
              <w:t>9.31</w:t>
            </w:r>
          </w:p>
        </w:tc>
      </w:tr>
      <w:tr w:rsidR="00200AA4" w:rsidRPr="00A2119B" w14:paraId="34B966ED" w14:textId="77777777" w:rsidTr="00AB236A">
        <w:trPr>
          <w:trHeight w:val="403"/>
        </w:trPr>
        <w:tc>
          <w:tcPr>
            <w:tcW w:w="2245" w:type="dxa"/>
            <w:tcBorders>
              <w:left w:val="double" w:sz="4" w:space="0" w:color="auto"/>
              <w:right w:val="double" w:sz="4" w:space="0" w:color="auto"/>
            </w:tcBorders>
            <w:noWrap/>
            <w:vAlign w:val="center"/>
            <w:hideMark/>
          </w:tcPr>
          <w:p w14:paraId="17EB7F52" w14:textId="77777777" w:rsidR="00200AA4" w:rsidRPr="00A2119B" w:rsidRDefault="00200AA4" w:rsidP="00A2119B">
            <w:pPr>
              <w:jc w:val="left"/>
              <w:rPr>
                <w:b/>
                <w:bCs/>
                <w:sz w:val="22"/>
                <w:szCs w:val="22"/>
              </w:rPr>
            </w:pPr>
            <w:r w:rsidRPr="00A2119B">
              <w:rPr>
                <w:b/>
                <w:bCs/>
                <w:sz w:val="22"/>
                <w:szCs w:val="22"/>
              </w:rPr>
              <w:t>2 to 3 Days a Week</w:t>
            </w:r>
          </w:p>
        </w:tc>
        <w:tc>
          <w:tcPr>
            <w:tcW w:w="980" w:type="dxa"/>
            <w:tcBorders>
              <w:left w:val="double" w:sz="4" w:space="0" w:color="auto"/>
              <w:right w:val="single" w:sz="4" w:space="0" w:color="auto"/>
            </w:tcBorders>
            <w:vAlign w:val="center"/>
          </w:tcPr>
          <w:p w14:paraId="40801D0B" w14:textId="77777777" w:rsidR="00200AA4" w:rsidRPr="00A2119B" w:rsidRDefault="00200AA4" w:rsidP="00A2119B">
            <w:pPr>
              <w:ind w:right="165"/>
              <w:jc w:val="right"/>
              <w:rPr>
                <w:color w:val="000000"/>
                <w:sz w:val="22"/>
                <w:szCs w:val="22"/>
              </w:rPr>
            </w:pPr>
            <w:r w:rsidRPr="00A2119B">
              <w:rPr>
                <w:sz w:val="22"/>
                <w:szCs w:val="22"/>
              </w:rPr>
              <w:t>258</w:t>
            </w:r>
          </w:p>
        </w:tc>
        <w:tc>
          <w:tcPr>
            <w:tcW w:w="900" w:type="dxa"/>
            <w:tcBorders>
              <w:left w:val="single" w:sz="4" w:space="0" w:color="auto"/>
              <w:right w:val="double" w:sz="4" w:space="0" w:color="auto"/>
            </w:tcBorders>
            <w:vAlign w:val="center"/>
          </w:tcPr>
          <w:p w14:paraId="0DE707F0" w14:textId="77777777" w:rsidR="00200AA4" w:rsidRPr="00A2119B" w:rsidRDefault="00200AA4" w:rsidP="00200AA4">
            <w:pPr>
              <w:tabs>
                <w:tab w:val="left" w:pos="480"/>
              </w:tabs>
              <w:ind w:right="165"/>
              <w:jc w:val="right"/>
              <w:rPr>
                <w:sz w:val="22"/>
                <w:szCs w:val="22"/>
              </w:rPr>
            </w:pPr>
            <w:r w:rsidRPr="00A2119B">
              <w:rPr>
                <w:color w:val="000000"/>
                <w:sz w:val="22"/>
                <w:szCs w:val="22"/>
              </w:rPr>
              <w:t>13.4</w:t>
            </w:r>
          </w:p>
        </w:tc>
        <w:tc>
          <w:tcPr>
            <w:tcW w:w="1800" w:type="dxa"/>
            <w:tcBorders>
              <w:left w:val="double" w:sz="4" w:space="0" w:color="auto"/>
              <w:right w:val="double" w:sz="4" w:space="0" w:color="auto"/>
            </w:tcBorders>
            <w:shd w:val="clear" w:color="auto" w:fill="auto"/>
            <w:noWrap/>
            <w:vAlign w:val="center"/>
          </w:tcPr>
          <w:p w14:paraId="73284CF7" w14:textId="77777777" w:rsidR="00200AA4" w:rsidRPr="00A2119B" w:rsidRDefault="00200AA4" w:rsidP="00A2119B">
            <w:pPr>
              <w:ind w:right="525"/>
              <w:jc w:val="right"/>
              <w:rPr>
                <w:sz w:val="22"/>
                <w:szCs w:val="22"/>
              </w:rPr>
            </w:pPr>
            <w:r w:rsidRPr="00A2119B">
              <w:rPr>
                <w:sz w:val="22"/>
                <w:szCs w:val="22"/>
              </w:rPr>
              <w:t>3.50</w:t>
            </w:r>
          </w:p>
        </w:tc>
        <w:tc>
          <w:tcPr>
            <w:tcW w:w="1728" w:type="dxa"/>
            <w:tcBorders>
              <w:left w:val="double" w:sz="4" w:space="0" w:color="auto"/>
              <w:right w:val="double" w:sz="4" w:space="0" w:color="auto"/>
            </w:tcBorders>
            <w:shd w:val="clear" w:color="auto" w:fill="auto"/>
            <w:noWrap/>
            <w:vAlign w:val="center"/>
          </w:tcPr>
          <w:p w14:paraId="6C1D8435" w14:textId="77777777" w:rsidR="00200AA4" w:rsidRPr="00A2119B" w:rsidRDefault="00200AA4" w:rsidP="00A2119B">
            <w:pPr>
              <w:ind w:right="435"/>
              <w:jc w:val="right"/>
              <w:rPr>
                <w:sz w:val="22"/>
                <w:szCs w:val="22"/>
              </w:rPr>
            </w:pPr>
            <w:r w:rsidRPr="00A2119B">
              <w:rPr>
                <w:sz w:val="22"/>
                <w:szCs w:val="22"/>
              </w:rPr>
              <w:t>5.33</w:t>
            </w:r>
          </w:p>
        </w:tc>
        <w:tc>
          <w:tcPr>
            <w:tcW w:w="1728" w:type="dxa"/>
            <w:tcBorders>
              <w:right w:val="double" w:sz="4" w:space="0" w:color="auto"/>
            </w:tcBorders>
            <w:shd w:val="clear" w:color="auto" w:fill="auto"/>
            <w:vAlign w:val="center"/>
          </w:tcPr>
          <w:p w14:paraId="4365D56C" w14:textId="32700372" w:rsidR="00200AA4" w:rsidRPr="00A2119B" w:rsidRDefault="00200AA4" w:rsidP="00A2119B">
            <w:pPr>
              <w:tabs>
                <w:tab w:val="left" w:pos="871"/>
              </w:tabs>
              <w:ind w:right="526"/>
              <w:jc w:val="right"/>
              <w:rPr>
                <w:sz w:val="22"/>
                <w:szCs w:val="22"/>
              </w:rPr>
            </w:pPr>
            <w:r w:rsidRPr="00A2119B">
              <w:rPr>
                <w:sz w:val="22"/>
                <w:szCs w:val="22"/>
              </w:rPr>
              <w:t>8.83</w:t>
            </w:r>
          </w:p>
        </w:tc>
      </w:tr>
      <w:tr w:rsidR="00200AA4" w:rsidRPr="00A2119B" w14:paraId="1715C916" w14:textId="77777777" w:rsidTr="00AB236A">
        <w:trPr>
          <w:trHeight w:val="403"/>
        </w:trPr>
        <w:tc>
          <w:tcPr>
            <w:tcW w:w="2245" w:type="dxa"/>
            <w:tcBorders>
              <w:left w:val="double" w:sz="4" w:space="0" w:color="auto"/>
              <w:right w:val="double" w:sz="4" w:space="0" w:color="auto"/>
            </w:tcBorders>
            <w:noWrap/>
            <w:vAlign w:val="center"/>
            <w:hideMark/>
          </w:tcPr>
          <w:p w14:paraId="47AE7201" w14:textId="77777777" w:rsidR="00200AA4" w:rsidRPr="00A2119B" w:rsidRDefault="00200AA4" w:rsidP="00A2119B">
            <w:pPr>
              <w:jc w:val="left"/>
              <w:rPr>
                <w:b/>
                <w:bCs/>
                <w:sz w:val="22"/>
                <w:szCs w:val="22"/>
              </w:rPr>
            </w:pPr>
            <w:r w:rsidRPr="00A2119B">
              <w:rPr>
                <w:b/>
                <w:bCs/>
                <w:sz w:val="22"/>
                <w:szCs w:val="22"/>
              </w:rPr>
              <w:t>4 Days a Week</w:t>
            </w:r>
          </w:p>
        </w:tc>
        <w:tc>
          <w:tcPr>
            <w:tcW w:w="980" w:type="dxa"/>
            <w:tcBorders>
              <w:left w:val="double" w:sz="4" w:space="0" w:color="auto"/>
              <w:right w:val="single" w:sz="4" w:space="0" w:color="auto"/>
            </w:tcBorders>
            <w:vAlign w:val="center"/>
          </w:tcPr>
          <w:p w14:paraId="0A587D63" w14:textId="77777777" w:rsidR="00200AA4" w:rsidRPr="00A2119B" w:rsidRDefault="00200AA4" w:rsidP="00A2119B">
            <w:pPr>
              <w:ind w:right="165"/>
              <w:jc w:val="right"/>
              <w:rPr>
                <w:color w:val="000000"/>
                <w:sz w:val="22"/>
                <w:szCs w:val="22"/>
              </w:rPr>
            </w:pPr>
            <w:r w:rsidRPr="00A2119B">
              <w:rPr>
                <w:sz w:val="22"/>
                <w:szCs w:val="22"/>
              </w:rPr>
              <w:t>147</w:t>
            </w:r>
          </w:p>
        </w:tc>
        <w:tc>
          <w:tcPr>
            <w:tcW w:w="900" w:type="dxa"/>
            <w:tcBorders>
              <w:left w:val="single" w:sz="4" w:space="0" w:color="auto"/>
              <w:right w:val="double" w:sz="4" w:space="0" w:color="auto"/>
            </w:tcBorders>
            <w:vAlign w:val="center"/>
          </w:tcPr>
          <w:p w14:paraId="7FCEFD74" w14:textId="77777777" w:rsidR="00200AA4" w:rsidRPr="00A2119B" w:rsidRDefault="00200AA4" w:rsidP="00200AA4">
            <w:pPr>
              <w:tabs>
                <w:tab w:val="left" w:pos="480"/>
              </w:tabs>
              <w:ind w:right="165"/>
              <w:jc w:val="right"/>
              <w:rPr>
                <w:sz w:val="22"/>
                <w:szCs w:val="22"/>
              </w:rPr>
            </w:pPr>
            <w:r w:rsidRPr="00A2119B">
              <w:rPr>
                <w:color w:val="000000"/>
                <w:sz w:val="22"/>
                <w:szCs w:val="22"/>
              </w:rPr>
              <w:t>7.7</w:t>
            </w:r>
          </w:p>
        </w:tc>
        <w:tc>
          <w:tcPr>
            <w:tcW w:w="1800" w:type="dxa"/>
            <w:tcBorders>
              <w:left w:val="double" w:sz="4" w:space="0" w:color="auto"/>
              <w:right w:val="double" w:sz="4" w:space="0" w:color="auto"/>
            </w:tcBorders>
            <w:shd w:val="clear" w:color="auto" w:fill="auto"/>
            <w:noWrap/>
            <w:vAlign w:val="center"/>
          </w:tcPr>
          <w:p w14:paraId="42DE37B6" w14:textId="77777777" w:rsidR="00200AA4" w:rsidRPr="00A2119B" w:rsidRDefault="00200AA4" w:rsidP="00A2119B">
            <w:pPr>
              <w:ind w:right="525"/>
              <w:jc w:val="right"/>
              <w:rPr>
                <w:sz w:val="22"/>
                <w:szCs w:val="22"/>
              </w:rPr>
            </w:pPr>
            <w:r w:rsidRPr="00A2119B">
              <w:rPr>
                <w:sz w:val="22"/>
                <w:szCs w:val="22"/>
              </w:rPr>
              <w:t>3.85</w:t>
            </w:r>
          </w:p>
        </w:tc>
        <w:tc>
          <w:tcPr>
            <w:tcW w:w="1728" w:type="dxa"/>
            <w:tcBorders>
              <w:left w:val="double" w:sz="4" w:space="0" w:color="auto"/>
              <w:right w:val="double" w:sz="4" w:space="0" w:color="auto"/>
            </w:tcBorders>
            <w:shd w:val="clear" w:color="auto" w:fill="auto"/>
            <w:noWrap/>
            <w:vAlign w:val="center"/>
          </w:tcPr>
          <w:p w14:paraId="620C2299" w14:textId="77777777" w:rsidR="00200AA4" w:rsidRPr="00A2119B" w:rsidRDefault="00200AA4" w:rsidP="00A2119B">
            <w:pPr>
              <w:ind w:right="435"/>
              <w:jc w:val="right"/>
              <w:rPr>
                <w:sz w:val="22"/>
                <w:szCs w:val="22"/>
              </w:rPr>
            </w:pPr>
            <w:r w:rsidRPr="00A2119B">
              <w:rPr>
                <w:sz w:val="22"/>
                <w:szCs w:val="22"/>
              </w:rPr>
              <w:t>5.80</w:t>
            </w:r>
          </w:p>
        </w:tc>
        <w:tc>
          <w:tcPr>
            <w:tcW w:w="1728" w:type="dxa"/>
            <w:tcBorders>
              <w:right w:val="double" w:sz="4" w:space="0" w:color="auto"/>
            </w:tcBorders>
            <w:shd w:val="clear" w:color="auto" w:fill="auto"/>
            <w:vAlign w:val="center"/>
          </w:tcPr>
          <w:p w14:paraId="06982D7D" w14:textId="6FEFF967" w:rsidR="00200AA4" w:rsidRPr="00A2119B" w:rsidRDefault="00200AA4" w:rsidP="00A2119B">
            <w:pPr>
              <w:tabs>
                <w:tab w:val="left" w:pos="871"/>
              </w:tabs>
              <w:ind w:right="526"/>
              <w:jc w:val="right"/>
              <w:rPr>
                <w:sz w:val="22"/>
                <w:szCs w:val="22"/>
              </w:rPr>
            </w:pPr>
            <w:r w:rsidRPr="00A2119B">
              <w:rPr>
                <w:sz w:val="22"/>
                <w:szCs w:val="22"/>
              </w:rPr>
              <w:t>9.65</w:t>
            </w:r>
          </w:p>
        </w:tc>
      </w:tr>
      <w:tr w:rsidR="00200AA4" w:rsidRPr="00A2119B" w14:paraId="29B2D9CE" w14:textId="77777777" w:rsidTr="00AB236A">
        <w:trPr>
          <w:trHeight w:val="403"/>
        </w:trPr>
        <w:tc>
          <w:tcPr>
            <w:tcW w:w="2245" w:type="dxa"/>
            <w:tcBorders>
              <w:left w:val="double" w:sz="4" w:space="0" w:color="auto"/>
              <w:bottom w:val="double" w:sz="4" w:space="0" w:color="auto"/>
              <w:right w:val="double" w:sz="4" w:space="0" w:color="auto"/>
            </w:tcBorders>
            <w:noWrap/>
            <w:vAlign w:val="center"/>
            <w:hideMark/>
          </w:tcPr>
          <w:p w14:paraId="39D01F11" w14:textId="77777777" w:rsidR="00200AA4" w:rsidRPr="00A2119B" w:rsidRDefault="00200AA4" w:rsidP="00A2119B">
            <w:pPr>
              <w:jc w:val="left"/>
              <w:rPr>
                <w:b/>
                <w:bCs/>
                <w:sz w:val="22"/>
                <w:szCs w:val="22"/>
              </w:rPr>
            </w:pPr>
            <w:r w:rsidRPr="00A2119B">
              <w:rPr>
                <w:b/>
                <w:bCs/>
                <w:sz w:val="22"/>
                <w:szCs w:val="22"/>
              </w:rPr>
              <w:t>≥ 5 Days a Week</w:t>
            </w:r>
          </w:p>
        </w:tc>
        <w:tc>
          <w:tcPr>
            <w:tcW w:w="980" w:type="dxa"/>
            <w:tcBorders>
              <w:left w:val="double" w:sz="4" w:space="0" w:color="auto"/>
              <w:bottom w:val="double" w:sz="4" w:space="0" w:color="auto"/>
              <w:right w:val="single" w:sz="4" w:space="0" w:color="auto"/>
            </w:tcBorders>
            <w:vAlign w:val="center"/>
          </w:tcPr>
          <w:p w14:paraId="0044B35C" w14:textId="77777777" w:rsidR="00200AA4" w:rsidRPr="00A2119B" w:rsidRDefault="00200AA4" w:rsidP="00A2119B">
            <w:pPr>
              <w:ind w:right="165"/>
              <w:jc w:val="right"/>
              <w:rPr>
                <w:color w:val="000000"/>
                <w:sz w:val="22"/>
                <w:szCs w:val="22"/>
              </w:rPr>
            </w:pPr>
            <w:r w:rsidRPr="00A2119B">
              <w:rPr>
                <w:sz w:val="22"/>
                <w:szCs w:val="22"/>
              </w:rPr>
              <w:t>266</w:t>
            </w:r>
          </w:p>
        </w:tc>
        <w:tc>
          <w:tcPr>
            <w:tcW w:w="900" w:type="dxa"/>
            <w:tcBorders>
              <w:left w:val="single" w:sz="4" w:space="0" w:color="auto"/>
              <w:bottom w:val="double" w:sz="4" w:space="0" w:color="auto"/>
              <w:right w:val="double" w:sz="4" w:space="0" w:color="auto"/>
            </w:tcBorders>
            <w:vAlign w:val="center"/>
          </w:tcPr>
          <w:p w14:paraId="66A17E47" w14:textId="77777777" w:rsidR="00200AA4" w:rsidRPr="00A2119B" w:rsidRDefault="00200AA4" w:rsidP="00200AA4">
            <w:pPr>
              <w:tabs>
                <w:tab w:val="left" w:pos="480"/>
              </w:tabs>
              <w:ind w:right="165"/>
              <w:jc w:val="right"/>
              <w:rPr>
                <w:sz w:val="22"/>
                <w:szCs w:val="22"/>
              </w:rPr>
            </w:pPr>
            <w:r w:rsidRPr="00A2119B">
              <w:rPr>
                <w:color w:val="000000"/>
                <w:sz w:val="22"/>
                <w:szCs w:val="22"/>
              </w:rPr>
              <w:t>13.8</w:t>
            </w:r>
          </w:p>
        </w:tc>
        <w:tc>
          <w:tcPr>
            <w:tcW w:w="1800" w:type="dxa"/>
            <w:tcBorders>
              <w:left w:val="double" w:sz="4" w:space="0" w:color="auto"/>
              <w:bottom w:val="double" w:sz="4" w:space="0" w:color="auto"/>
              <w:right w:val="double" w:sz="4" w:space="0" w:color="auto"/>
            </w:tcBorders>
            <w:shd w:val="clear" w:color="auto" w:fill="auto"/>
            <w:noWrap/>
            <w:vAlign w:val="center"/>
          </w:tcPr>
          <w:p w14:paraId="5C7649ED" w14:textId="77777777" w:rsidR="00200AA4" w:rsidRPr="00A2119B" w:rsidRDefault="00200AA4" w:rsidP="00A2119B">
            <w:pPr>
              <w:ind w:right="525"/>
              <w:jc w:val="right"/>
              <w:rPr>
                <w:sz w:val="22"/>
                <w:szCs w:val="22"/>
              </w:rPr>
            </w:pPr>
            <w:r w:rsidRPr="00A2119B">
              <w:rPr>
                <w:sz w:val="22"/>
                <w:szCs w:val="22"/>
              </w:rPr>
              <w:t>4.03</w:t>
            </w:r>
          </w:p>
        </w:tc>
        <w:tc>
          <w:tcPr>
            <w:tcW w:w="1728" w:type="dxa"/>
            <w:tcBorders>
              <w:left w:val="double" w:sz="4" w:space="0" w:color="auto"/>
              <w:bottom w:val="double" w:sz="4" w:space="0" w:color="auto"/>
              <w:right w:val="double" w:sz="4" w:space="0" w:color="auto"/>
            </w:tcBorders>
            <w:shd w:val="clear" w:color="auto" w:fill="auto"/>
            <w:noWrap/>
            <w:vAlign w:val="center"/>
          </w:tcPr>
          <w:p w14:paraId="40FEF30C" w14:textId="77777777" w:rsidR="00200AA4" w:rsidRPr="00A2119B" w:rsidRDefault="00200AA4" w:rsidP="00A2119B">
            <w:pPr>
              <w:ind w:right="435"/>
              <w:jc w:val="right"/>
              <w:rPr>
                <w:sz w:val="22"/>
                <w:szCs w:val="22"/>
              </w:rPr>
            </w:pPr>
            <w:r w:rsidRPr="00A2119B">
              <w:rPr>
                <w:sz w:val="22"/>
                <w:szCs w:val="22"/>
              </w:rPr>
              <w:t>5.44</w:t>
            </w:r>
          </w:p>
        </w:tc>
        <w:tc>
          <w:tcPr>
            <w:tcW w:w="1728" w:type="dxa"/>
            <w:tcBorders>
              <w:bottom w:val="double" w:sz="4" w:space="0" w:color="auto"/>
              <w:right w:val="double" w:sz="4" w:space="0" w:color="auto"/>
            </w:tcBorders>
            <w:shd w:val="clear" w:color="auto" w:fill="auto"/>
            <w:vAlign w:val="center"/>
          </w:tcPr>
          <w:p w14:paraId="0FBEE70F" w14:textId="00D98908" w:rsidR="00200AA4" w:rsidRPr="00A2119B" w:rsidRDefault="00200AA4" w:rsidP="00A2119B">
            <w:pPr>
              <w:tabs>
                <w:tab w:val="left" w:pos="871"/>
              </w:tabs>
              <w:ind w:right="526"/>
              <w:jc w:val="right"/>
              <w:rPr>
                <w:sz w:val="22"/>
                <w:szCs w:val="22"/>
              </w:rPr>
            </w:pPr>
            <w:r w:rsidRPr="00A2119B">
              <w:rPr>
                <w:sz w:val="22"/>
                <w:szCs w:val="22"/>
              </w:rPr>
              <w:t>9.47</w:t>
            </w:r>
          </w:p>
        </w:tc>
      </w:tr>
      <w:tr w:rsidR="00200AA4" w:rsidRPr="00A2119B" w14:paraId="490B158F" w14:textId="77777777" w:rsidTr="00AB236A">
        <w:trPr>
          <w:trHeight w:val="403"/>
        </w:trPr>
        <w:tc>
          <w:tcPr>
            <w:tcW w:w="4125" w:type="dxa"/>
            <w:gridSpan w:val="3"/>
            <w:tcBorders>
              <w:top w:val="double" w:sz="4" w:space="0" w:color="auto"/>
              <w:left w:val="double" w:sz="4" w:space="0" w:color="auto"/>
              <w:bottom w:val="double" w:sz="4" w:space="0" w:color="auto"/>
              <w:right w:val="double" w:sz="4" w:space="0" w:color="auto"/>
            </w:tcBorders>
            <w:noWrap/>
            <w:vAlign w:val="center"/>
            <w:hideMark/>
          </w:tcPr>
          <w:p w14:paraId="4D5A85E2" w14:textId="77777777" w:rsidR="00200AA4" w:rsidRPr="00A2119B" w:rsidRDefault="00200AA4" w:rsidP="00200AA4">
            <w:pPr>
              <w:rPr>
                <w:sz w:val="22"/>
                <w:szCs w:val="22"/>
              </w:rPr>
            </w:pPr>
            <w:r w:rsidRPr="00A2119B">
              <w:rPr>
                <w:b/>
                <w:bCs/>
                <w:sz w:val="22"/>
                <w:szCs w:val="22"/>
              </w:rPr>
              <w:t>Average # of Stops Over Entire Sample</w:t>
            </w:r>
          </w:p>
        </w:tc>
        <w:tc>
          <w:tcPr>
            <w:tcW w:w="180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4CF04F9" w14:textId="77777777" w:rsidR="00200AA4" w:rsidRPr="00A2119B" w:rsidRDefault="00200AA4" w:rsidP="00A2119B">
            <w:pPr>
              <w:ind w:right="525"/>
              <w:jc w:val="right"/>
              <w:rPr>
                <w:sz w:val="22"/>
                <w:szCs w:val="22"/>
              </w:rPr>
            </w:pPr>
            <w:r w:rsidRPr="00A2119B">
              <w:rPr>
                <w:sz w:val="22"/>
                <w:szCs w:val="22"/>
              </w:rPr>
              <w:t>3.86</w:t>
            </w:r>
          </w:p>
        </w:tc>
        <w:tc>
          <w:tcPr>
            <w:tcW w:w="1728"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4FE7E14" w14:textId="77777777" w:rsidR="00200AA4" w:rsidRPr="00A2119B" w:rsidRDefault="00200AA4" w:rsidP="00A2119B">
            <w:pPr>
              <w:ind w:right="435"/>
              <w:jc w:val="right"/>
              <w:rPr>
                <w:sz w:val="22"/>
                <w:szCs w:val="22"/>
              </w:rPr>
            </w:pPr>
            <w:r w:rsidRPr="00A2119B">
              <w:rPr>
                <w:sz w:val="22"/>
                <w:szCs w:val="22"/>
              </w:rPr>
              <w:t>5.31</w:t>
            </w:r>
          </w:p>
        </w:tc>
        <w:tc>
          <w:tcPr>
            <w:tcW w:w="1728" w:type="dxa"/>
            <w:tcBorders>
              <w:top w:val="double" w:sz="4" w:space="0" w:color="auto"/>
              <w:bottom w:val="double" w:sz="4" w:space="0" w:color="auto"/>
              <w:right w:val="double" w:sz="4" w:space="0" w:color="auto"/>
            </w:tcBorders>
            <w:shd w:val="clear" w:color="auto" w:fill="auto"/>
            <w:vAlign w:val="center"/>
          </w:tcPr>
          <w:p w14:paraId="223792E5" w14:textId="73E416FC" w:rsidR="00200AA4" w:rsidRPr="00A2119B" w:rsidRDefault="00200AA4" w:rsidP="00A2119B">
            <w:pPr>
              <w:tabs>
                <w:tab w:val="left" w:pos="871"/>
              </w:tabs>
              <w:ind w:right="526"/>
              <w:jc w:val="right"/>
              <w:rPr>
                <w:sz w:val="22"/>
                <w:szCs w:val="22"/>
              </w:rPr>
            </w:pPr>
            <w:r w:rsidRPr="00A2119B">
              <w:rPr>
                <w:sz w:val="22"/>
                <w:szCs w:val="22"/>
              </w:rPr>
              <w:t>9.17</w:t>
            </w:r>
          </w:p>
        </w:tc>
      </w:tr>
    </w:tbl>
    <w:bookmarkEnd w:id="30"/>
    <w:p w14:paraId="4946FBE5" w14:textId="77777777" w:rsidR="00E465D0" w:rsidRPr="00A2119B" w:rsidRDefault="00E465D0" w:rsidP="00E465D0">
      <w:pPr>
        <w:rPr>
          <w:sz w:val="22"/>
          <w:szCs w:val="22"/>
        </w:rPr>
        <w:sectPr w:rsidR="00E465D0" w:rsidRPr="00A2119B" w:rsidSect="00C26E71">
          <w:footerReference w:type="default" r:id="rId223"/>
          <w:pgSz w:w="12240" w:h="15840"/>
          <w:pgMar w:top="1440" w:right="1440" w:bottom="1440" w:left="1440" w:header="720" w:footer="720" w:gutter="0"/>
          <w:cols w:space="720"/>
          <w:docGrid w:linePitch="360"/>
        </w:sectPr>
      </w:pPr>
      <w:r w:rsidRPr="00A2119B">
        <w:rPr>
          <w:sz w:val="22"/>
          <w:szCs w:val="22"/>
        </w:rPr>
        <w:t>*Only stops performed on weekdays where the employee has worked are reported here.</w:t>
      </w:r>
    </w:p>
    <w:tbl>
      <w:tblPr>
        <w:tblpPr w:leftFromText="180" w:rightFromText="180" w:horzAnchor="margin" w:tblpY="345"/>
        <w:tblW w:w="12727" w:type="dxa"/>
        <w:tblLayout w:type="fixed"/>
        <w:tblLook w:val="04A0" w:firstRow="1" w:lastRow="0" w:firstColumn="1" w:lastColumn="0" w:noHBand="0" w:noVBand="1"/>
      </w:tblPr>
      <w:tblGrid>
        <w:gridCol w:w="1333"/>
        <w:gridCol w:w="1124"/>
        <w:gridCol w:w="764"/>
        <w:gridCol w:w="12"/>
        <w:gridCol w:w="622"/>
        <w:gridCol w:w="763"/>
        <w:gridCol w:w="587"/>
        <w:gridCol w:w="763"/>
        <w:gridCol w:w="587"/>
        <w:gridCol w:w="763"/>
        <w:gridCol w:w="587"/>
        <w:gridCol w:w="763"/>
        <w:gridCol w:w="587"/>
        <w:gridCol w:w="763"/>
        <w:gridCol w:w="587"/>
        <w:gridCol w:w="720"/>
        <w:gridCol w:w="592"/>
        <w:gridCol w:w="810"/>
      </w:tblGrid>
      <w:tr w:rsidR="0023465E" w:rsidRPr="0023465E" w14:paraId="520C9625" w14:textId="77777777" w:rsidTr="00745B90">
        <w:trPr>
          <w:trHeight w:val="576"/>
        </w:trPr>
        <w:tc>
          <w:tcPr>
            <w:tcW w:w="2457" w:type="dxa"/>
            <w:gridSpan w:val="2"/>
            <w:vMerge w:val="restart"/>
            <w:tcBorders>
              <w:top w:val="double" w:sz="6" w:space="0" w:color="auto"/>
              <w:left w:val="double" w:sz="4" w:space="0" w:color="auto"/>
              <w:right w:val="double" w:sz="4" w:space="0" w:color="auto"/>
            </w:tcBorders>
            <w:shd w:val="clear" w:color="auto" w:fill="auto"/>
            <w:noWrap/>
            <w:tcMar>
              <w:left w:w="43" w:type="dxa"/>
              <w:right w:w="43" w:type="dxa"/>
            </w:tcMar>
            <w:vAlign w:val="center"/>
            <w:hideMark/>
          </w:tcPr>
          <w:p w14:paraId="433A5E14"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lastRenderedPageBreak/>
              <w:t>Telework Frequency (TF)</w:t>
            </w:r>
          </w:p>
        </w:tc>
        <w:tc>
          <w:tcPr>
            <w:tcW w:w="1398" w:type="dxa"/>
            <w:gridSpan w:val="3"/>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3137EF99"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Never</w:t>
            </w:r>
          </w:p>
        </w:tc>
        <w:tc>
          <w:tcPr>
            <w:tcW w:w="1350"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49EF7B40"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Less than Monthly</w:t>
            </w:r>
          </w:p>
        </w:tc>
        <w:tc>
          <w:tcPr>
            <w:tcW w:w="1350"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035828B6" w14:textId="3EFE56E0" w:rsidR="00E465D0" w:rsidRPr="0023465E" w:rsidRDefault="004A51D9" w:rsidP="00745B90">
            <w:pPr>
              <w:spacing w:after="0"/>
              <w:jc w:val="center"/>
              <w:rPr>
                <w:rFonts w:eastAsia="Times New Roman"/>
                <w:b/>
                <w:bCs/>
                <w:color w:val="000000"/>
                <w:sz w:val="22"/>
                <w:szCs w:val="22"/>
              </w:rPr>
            </w:pPr>
            <w:r w:rsidRPr="0023465E">
              <w:rPr>
                <w:rFonts w:eastAsia="Times New Roman"/>
                <w:b/>
                <w:bCs/>
                <w:color w:val="000000"/>
                <w:sz w:val="22"/>
                <w:szCs w:val="22"/>
              </w:rPr>
              <w:t xml:space="preserve">1-3 </w:t>
            </w:r>
            <w:r w:rsidR="00E465D0" w:rsidRPr="0023465E">
              <w:rPr>
                <w:rFonts w:eastAsia="Times New Roman"/>
                <w:b/>
                <w:bCs/>
                <w:color w:val="000000"/>
                <w:sz w:val="22"/>
                <w:szCs w:val="22"/>
              </w:rPr>
              <w:t>Days a Month</w:t>
            </w:r>
          </w:p>
        </w:tc>
        <w:tc>
          <w:tcPr>
            <w:tcW w:w="1350"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681E7527"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1 Day a Week</w:t>
            </w:r>
          </w:p>
        </w:tc>
        <w:tc>
          <w:tcPr>
            <w:tcW w:w="1350"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73814B5B"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2 to 3 Days a Week</w:t>
            </w:r>
          </w:p>
        </w:tc>
        <w:tc>
          <w:tcPr>
            <w:tcW w:w="1350"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4234DB5E"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4 Days a Week</w:t>
            </w:r>
          </w:p>
        </w:tc>
        <w:tc>
          <w:tcPr>
            <w:tcW w:w="1312" w:type="dxa"/>
            <w:gridSpan w:val="2"/>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00D081FD"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 5 Days a Week</w:t>
            </w:r>
          </w:p>
        </w:tc>
        <w:tc>
          <w:tcPr>
            <w:tcW w:w="810" w:type="dxa"/>
            <w:tcBorders>
              <w:top w:val="double" w:sz="4" w:space="0" w:color="auto"/>
              <w:left w:val="double" w:sz="4" w:space="0" w:color="auto"/>
              <w:right w:val="double" w:sz="4" w:space="0" w:color="auto"/>
            </w:tcBorders>
            <w:shd w:val="clear" w:color="auto" w:fill="auto"/>
            <w:noWrap/>
            <w:tcMar>
              <w:left w:w="43" w:type="dxa"/>
              <w:right w:w="43" w:type="dxa"/>
            </w:tcMar>
            <w:vAlign w:val="bottom"/>
            <w:hideMark/>
          </w:tcPr>
          <w:p w14:paraId="5A177C68"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Sum</w:t>
            </w:r>
          </w:p>
        </w:tc>
      </w:tr>
      <w:tr w:rsidR="0023465E" w:rsidRPr="0023465E" w14:paraId="06731600" w14:textId="77777777" w:rsidTr="00745B90">
        <w:trPr>
          <w:trHeight w:val="288"/>
        </w:trPr>
        <w:tc>
          <w:tcPr>
            <w:tcW w:w="2457" w:type="dxa"/>
            <w:gridSpan w:val="2"/>
            <w:vMerge/>
            <w:tcBorders>
              <w:left w:val="double" w:sz="4" w:space="0" w:color="auto"/>
              <w:bottom w:val="double" w:sz="4" w:space="0" w:color="auto"/>
              <w:right w:val="double" w:sz="4" w:space="0" w:color="auto"/>
            </w:tcBorders>
            <w:shd w:val="clear" w:color="auto" w:fill="auto"/>
            <w:noWrap/>
            <w:tcMar>
              <w:left w:w="43" w:type="dxa"/>
              <w:right w:w="43" w:type="dxa"/>
            </w:tcMar>
            <w:vAlign w:val="center"/>
          </w:tcPr>
          <w:p w14:paraId="47E8F21E" w14:textId="77777777" w:rsidR="00E465D0" w:rsidRPr="0023465E" w:rsidRDefault="00E465D0" w:rsidP="00745B90">
            <w:pPr>
              <w:spacing w:after="0"/>
              <w:jc w:val="center"/>
              <w:rPr>
                <w:rFonts w:eastAsia="Times New Roman"/>
                <w:b/>
                <w:bCs/>
                <w:color w:val="000000"/>
                <w:sz w:val="22"/>
                <w:szCs w:val="22"/>
              </w:rPr>
            </w:pPr>
          </w:p>
        </w:tc>
        <w:tc>
          <w:tcPr>
            <w:tcW w:w="776" w:type="dxa"/>
            <w:gridSpan w:val="2"/>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4E9D3939"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622"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00A90EC3"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63"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70A7F427"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764E678A"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63"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38E709C0"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126DE4E4"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63"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1CF2C603"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28A329FF"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63"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168EEB5D"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03E80C75"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63"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7832846C"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450F0B9C"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720" w:type="dxa"/>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bottom"/>
          </w:tcPr>
          <w:p w14:paraId="6D3D3A8F"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Count</w:t>
            </w:r>
          </w:p>
        </w:tc>
        <w:tc>
          <w:tcPr>
            <w:tcW w:w="587" w:type="dxa"/>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bottom"/>
          </w:tcPr>
          <w:p w14:paraId="60FC6673"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w:t>
            </w:r>
          </w:p>
        </w:tc>
        <w:tc>
          <w:tcPr>
            <w:tcW w:w="810" w:type="dxa"/>
            <w:tcBorders>
              <w:left w:val="double" w:sz="4" w:space="0" w:color="auto"/>
              <w:bottom w:val="double" w:sz="4" w:space="0" w:color="auto"/>
              <w:right w:val="double" w:sz="4" w:space="0" w:color="auto"/>
            </w:tcBorders>
            <w:shd w:val="clear" w:color="auto" w:fill="auto"/>
            <w:noWrap/>
            <w:tcMar>
              <w:left w:w="43" w:type="dxa"/>
              <w:right w:w="43" w:type="dxa"/>
            </w:tcMar>
            <w:vAlign w:val="bottom"/>
          </w:tcPr>
          <w:p w14:paraId="4DF33633" w14:textId="77777777" w:rsidR="00E465D0" w:rsidRPr="0023465E" w:rsidRDefault="00E465D0" w:rsidP="00745B90">
            <w:pPr>
              <w:spacing w:after="0"/>
              <w:jc w:val="center"/>
              <w:rPr>
                <w:rFonts w:eastAsia="Times New Roman"/>
                <w:b/>
                <w:bCs/>
                <w:color w:val="000000"/>
                <w:sz w:val="22"/>
                <w:szCs w:val="22"/>
              </w:rPr>
            </w:pPr>
          </w:p>
        </w:tc>
      </w:tr>
      <w:tr w:rsidR="0023465E" w:rsidRPr="0023465E" w14:paraId="6B188179" w14:textId="77777777" w:rsidTr="00745B90">
        <w:trPr>
          <w:trHeight w:val="432"/>
        </w:trPr>
        <w:tc>
          <w:tcPr>
            <w:tcW w:w="133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081FBED1"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Maintenance Travel*</w:t>
            </w:r>
          </w:p>
          <w:p w14:paraId="44E80FF9"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(N=1920)</w:t>
            </w:r>
          </w:p>
        </w:tc>
        <w:tc>
          <w:tcPr>
            <w:tcW w:w="1124" w:type="dxa"/>
            <w:vMerge w:val="restart"/>
            <w:tcBorders>
              <w:top w:val="double" w:sz="4" w:space="0" w:color="auto"/>
              <w:left w:val="single" w:sz="4" w:space="0" w:color="auto"/>
              <w:right w:val="double" w:sz="4" w:space="0" w:color="auto"/>
            </w:tcBorders>
            <w:shd w:val="clear" w:color="auto" w:fill="auto"/>
            <w:noWrap/>
            <w:tcMar>
              <w:left w:w="43" w:type="dxa"/>
              <w:right w:w="43" w:type="dxa"/>
            </w:tcMar>
            <w:vAlign w:val="center"/>
            <w:hideMark/>
          </w:tcPr>
          <w:p w14:paraId="15B99834"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Less than 3.86 stops per week</w:t>
            </w:r>
          </w:p>
        </w:tc>
        <w:tc>
          <w:tcPr>
            <w:tcW w:w="764"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0C10C714"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457</w:t>
            </w:r>
          </w:p>
        </w:tc>
        <w:tc>
          <w:tcPr>
            <w:tcW w:w="634" w:type="dxa"/>
            <w:gridSpan w:val="2"/>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7AB208FA"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44.7</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1B0F604D"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83</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37EE18A7"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8.1</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44349EBA"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65</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31BA1A2A"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6.4</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4B8A99DE"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59</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1F3DC6F9"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5.8</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2006F276"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145</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45904E97"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14.2</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4C23D9C3"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76</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1665DEB1"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7.4</w:t>
            </w:r>
          </w:p>
        </w:tc>
        <w:tc>
          <w:tcPr>
            <w:tcW w:w="720"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5D1CDF67"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137</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37B3479D"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13.4</w:t>
            </w:r>
          </w:p>
        </w:tc>
        <w:tc>
          <w:tcPr>
            <w:tcW w:w="810" w:type="dxa"/>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73CF19AA"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1022</w:t>
            </w:r>
          </w:p>
        </w:tc>
      </w:tr>
      <w:tr w:rsidR="0023465E" w:rsidRPr="0023465E" w14:paraId="17A3CF3D" w14:textId="77777777" w:rsidTr="00745B90">
        <w:trPr>
          <w:trHeight w:val="432"/>
        </w:trPr>
        <w:tc>
          <w:tcPr>
            <w:tcW w:w="1333" w:type="dxa"/>
            <w:vMerge/>
            <w:tcBorders>
              <w:left w:val="double" w:sz="4" w:space="0" w:color="auto"/>
              <w:right w:val="single" w:sz="4" w:space="0" w:color="auto"/>
            </w:tcBorders>
            <w:shd w:val="clear" w:color="auto" w:fill="auto"/>
            <w:noWrap/>
            <w:tcMar>
              <w:left w:w="43" w:type="dxa"/>
              <w:right w:w="43" w:type="dxa"/>
            </w:tcMar>
            <w:vAlign w:val="center"/>
          </w:tcPr>
          <w:p w14:paraId="262BDC65" w14:textId="77777777" w:rsidR="00E465D0" w:rsidRPr="0023465E" w:rsidRDefault="00E465D0" w:rsidP="00745B90">
            <w:pPr>
              <w:spacing w:after="0"/>
              <w:jc w:val="center"/>
              <w:rPr>
                <w:rFonts w:eastAsia="Times New Roman"/>
                <w:b/>
                <w:bCs/>
                <w:color w:val="000000"/>
                <w:sz w:val="22"/>
                <w:szCs w:val="22"/>
              </w:rPr>
            </w:pPr>
          </w:p>
        </w:tc>
        <w:tc>
          <w:tcPr>
            <w:tcW w:w="1124" w:type="dxa"/>
            <w:vMerge/>
            <w:tcBorders>
              <w:left w:val="single" w:sz="4" w:space="0" w:color="auto"/>
              <w:right w:val="double" w:sz="4" w:space="0" w:color="auto"/>
            </w:tcBorders>
            <w:shd w:val="clear" w:color="auto" w:fill="auto"/>
            <w:noWrap/>
            <w:tcMar>
              <w:left w:w="43" w:type="dxa"/>
              <w:right w:w="43" w:type="dxa"/>
            </w:tcMar>
            <w:vAlign w:val="center"/>
          </w:tcPr>
          <w:p w14:paraId="7BB2D5A5" w14:textId="77777777" w:rsidR="00E465D0" w:rsidRPr="0023465E" w:rsidRDefault="00E465D0" w:rsidP="00745B90">
            <w:pPr>
              <w:spacing w:after="0"/>
              <w:jc w:val="center"/>
              <w:rPr>
                <w:rFonts w:eastAsia="Times New Roman"/>
                <w:b/>
                <w:bCs/>
                <w:color w:val="000000"/>
                <w:sz w:val="22"/>
                <w:szCs w:val="22"/>
              </w:rPr>
            </w:pPr>
          </w:p>
        </w:tc>
        <w:tc>
          <w:tcPr>
            <w:tcW w:w="764" w:type="dxa"/>
            <w:vMerge/>
            <w:tcBorders>
              <w:left w:val="double" w:sz="4" w:space="0" w:color="auto"/>
              <w:right w:val="single" w:sz="4" w:space="0" w:color="auto"/>
            </w:tcBorders>
            <w:shd w:val="clear" w:color="auto" w:fill="auto"/>
            <w:noWrap/>
            <w:tcMar>
              <w:left w:w="43" w:type="dxa"/>
              <w:right w:w="43" w:type="dxa"/>
            </w:tcMar>
            <w:vAlign w:val="center"/>
          </w:tcPr>
          <w:p w14:paraId="16BB1BAC" w14:textId="77777777" w:rsidR="00E465D0" w:rsidRPr="0023465E" w:rsidRDefault="00E465D0" w:rsidP="00745B90">
            <w:pPr>
              <w:spacing w:after="0"/>
              <w:jc w:val="center"/>
              <w:rPr>
                <w:rFonts w:eastAsia="Times New Roman"/>
                <w:color w:val="000000"/>
                <w:sz w:val="22"/>
                <w:szCs w:val="22"/>
              </w:rPr>
            </w:pPr>
          </w:p>
        </w:tc>
        <w:tc>
          <w:tcPr>
            <w:tcW w:w="634" w:type="dxa"/>
            <w:gridSpan w:val="2"/>
            <w:vMerge/>
            <w:tcBorders>
              <w:left w:val="single" w:sz="4" w:space="0" w:color="auto"/>
              <w:right w:val="double" w:sz="4" w:space="0" w:color="auto"/>
            </w:tcBorders>
            <w:shd w:val="clear" w:color="auto" w:fill="auto"/>
            <w:tcMar>
              <w:left w:w="43" w:type="dxa"/>
              <w:right w:w="43" w:type="dxa"/>
            </w:tcMar>
            <w:vAlign w:val="center"/>
          </w:tcPr>
          <w:p w14:paraId="23214B5C"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4F54D2E6"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042BB087"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1B1FDEE5"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30B6C558"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6EBD85C0"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77C10D35"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4424B133"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4EAED09C"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2385DDC5"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61999406" w14:textId="77777777" w:rsidR="00E465D0" w:rsidRPr="0023465E" w:rsidRDefault="00E465D0" w:rsidP="00745B90">
            <w:pPr>
              <w:spacing w:after="0"/>
              <w:jc w:val="center"/>
              <w:rPr>
                <w:color w:val="000000"/>
                <w:sz w:val="22"/>
                <w:szCs w:val="22"/>
              </w:rPr>
            </w:pPr>
          </w:p>
        </w:tc>
        <w:tc>
          <w:tcPr>
            <w:tcW w:w="720"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5BD092A1"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6B960C44" w14:textId="77777777" w:rsidR="00E465D0" w:rsidRPr="0023465E" w:rsidRDefault="00E465D0" w:rsidP="00745B90">
            <w:pPr>
              <w:spacing w:after="0"/>
              <w:jc w:val="center"/>
              <w:rPr>
                <w:color w:val="000000"/>
                <w:sz w:val="22"/>
                <w:szCs w:val="22"/>
              </w:rPr>
            </w:pPr>
          </w:p>
        </w:tc>
        <w:tc>
          <w:tcPr>
            <w:tcW w:w="810" w:type="dxa"/>
            <w:tcBorders>
              <w:top w:val="sing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tcPr>
          <w:p w14:paraId="76618E7A"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100%</w:t>
            </w:r>
          </w:p>
        </w:tc>
      </w:tr>
      <w:tr w:rsidR="0023465E" w:rsidRPr="0023465E" w14:paraId="31EDF401" w14:textId="77777777" w:rsidTr="00745B90">
        <w:trPr>
          <w:trHeight w:val="432"/>
        </w:trPr>
        <w:tc>
          <w:tcPr>
            <w:tcW w:w="1333" w:type="dxa"/>
            <w:vMerge/>
            <w:tcBorders>
              <w:left w:val="double" w:sz="4" w:space="0" w:color="auto"/>
              <w:right w:val="single" w:sz="4" w:space="0" w:color="auto"/>
            </w:tcBorders>
            <w:tcMar>
              <w:left w:w="43" w:type="dxa"/>
              <w:right w:w="43" w:type="dxa"/>
            </w:tcMar>
            <w:vAlign w:val="center"/>
            <w:hideMark/>
          </w:tcPr>
          <w:p w14:paraId="025226D0" w14:textId="77777777" w:rsidR="00E465D0" w:rsidRPr="0023465E" w:rsidRDefault="00E465D0" w:rsidP="00745B90">
            <w:pPr>
              <w:spacing w:after="0"/>
              <w:rPr>
                <w:rFonts w:eastAsia="Times New Roman"/>
                <w:b/>
                <w:bCs/>
                <w:color w:val="000000"/>
                <w:sz w:val="22"/>
                <w:szCs w:val="22"/>
              </w:rPr>
            </w:pPr>
          </w:p>
        </w:tc>
        <w:tc>
          <w:tcPr>
            <w:tcW w:w="1124" w:type="dxa"/>
            <w:vMerge w:val="restart"/>
            <w:tcBorders>
              <w:top w:val="single" w:sz="4" w:space="0" w:color="auto"/>
              <w:left w:val="single" w:sz="4" w:space="0" w:color="auto"/>
              <w:right w:val="double" w:sz="4" w:space="0" w:color="auto"/>
            </w:tcBorders>
            <w:shd w:val="clear" w:color="auto" w:fill="auto"/>
            <w:noWrap/>
            <w:tcMar>
              <w:left w:w="43" w:type="dxa"/>
              <w:right w:w="43" w:type="dxa"/>
            </w:tcMar>
            <w:vAlign w:val="center"/>
            <w:hideMark/>
          </w:tcPr>
          <w:p w14:paraId="24A7B043"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More than 3.86 stops per week</w:t>
            </w:r>
          </w:p>
        </w:tc>
        <w:tc>
          <w:tcPr>
            <w:tcW w:w="764"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5021C4BF"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418</w:t>
            </w:r>
          </w:p>
        </w:tc>
        <w:tc>
          <w:tcPr>
            <w:tcW w:w="634" w:type="dxa"/>
            <w:gridSpan w:val="2"/>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3A85AC07"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46.5</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35255DD0"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63</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758CC329"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7.0</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3427EA7D"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62</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7A5B9B24"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6.9</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275BBD33"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42</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05761098"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4.7</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1D673A23"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113</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1C2E1CEB"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12.6</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301832CC"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71</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2B618444"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7.9</w:t>
            </w:r>
          </w:p>
        </w:tc>
        <w:tc>
          <w:tcPr>
            <w:tcW w:w="720"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571BFB78"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129</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678B1178"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14.4</w:t>
            </w:r>
          </w:p>
        </w:tc>
        <w:tc>
          <w:tcPr>
            <w:tcW w:w="810" w:type="dxa"/>
            <w:tcBorders>
              <w:top w:val="sing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5D2A117E"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898</w:t>
            </w:r>
          </w:p>
        </w:tc>
      </w:tr>
      <w:tr w:rsidR="0023465E" w:rsidRPr="0023465E" w14:paraId="18D24123" w14:textId="77777777" w:rsidTr="00745B90">
        <w:trPr>
          <w:trHeight w:val="432"/>
        </w:trPr>
        <w:tc>
          <w:tcPr>
            <w:tcW w:w="1333" w:type="dxa"/>
            <w:vMerge/>
            <w:tcBorders>
              <w:left w:val="double" w:sz="4" w:space="0" w:color="auto"/>
              <w:bottom w:val="double" w:sz="4" w:space="0" w:color="auto"/>
              <w:right w:val="single" w:sz="4" w:space="0" w:color="auto"/>
            </w:tcBorders>
            <w:tcMar>
              <w:left w:w="43" w:type="dxa"/>
              <w:right w:w="43" w:type="dxa"/>
            </w:tcMar>
            <w:vAlign w:val="center"/>
          </w:tcPr>
          <w:p w14:paraId="10B68D0D" w14:textId="77777777" w:rsidR="00E465D0" w:rsidRPr="0023465E" w:rsidRDefault="00E465D0" w:rsidP="00745B90">
            <w:pPr>
              <w:spacing w:after="0"/>
              <w:rPr>
                <w:rFonts w:eastAsia="Times New Roman"/>
                <w:b/>
                <w:bCs/>
                <w:color w:val="000000"/>
                <w:sz w:val="22"/>
                <w:szCs w:val="22"/>
              </w:rPr>
            </w:pPr>
          </w:p>
        </w:tc>
        <w:tc>
          <w:tcPr>
            <w:tcW w:w="1124" w:type="dxa"/>
            <w:vMerge/>
            <w:tcBorders>
              <w:left w:val="single" w:sz="4" w:space="0" w:color="auto"/>
              <w:right w:val="double" w:sz="4" w:space="0" w:color="auto"/>
            </w:tcBorders>
            <w:shd w:val="clear" w:color="auto" w:fill="auto"/>
            <w:noWrap/>
            <w:tcMar>
              <w:left w:w="43" w:type="dxa"/>
              <w:right w:w="43" w:type="dxa"/>
            </w:tcMar>
            <w:vAlign w:val="center"/>
          </w:tcPr>
          <w:p w14:paraId="464DF886" w14:textId="77777777" w:rsidR="00E465D0" w:rsidRPr="0023465E" w:rsidRDefault="00E465D0" w:rsidP="00745B90">
            <w:pPr>
              <w:spacing w:after="0"/>
              <w:jc w:val="center"/>
              <w:rPr>
                <w:rFonts w:eastAsia="Times New Roman"/>
                <w:b/>
                <w:bCs/>
                <w:color w:val="000000"/>
                <w:sz w:val="22"/>
                <w:szCs w:val="22"/>
              </w:rPr>
            </w:pPr>
          </w:p>
        </w:tc>
        <w:tc>
          <w:tcPr>
            <w:tcW w:w="764" w:type="dxa"/>
            <w:vMerge/>
            <w:tcBorders>
              <w:left w:val="double" w:sz="4" w:space="0" w:color="auto"/>
              <w:right w:val="single" w:sz="4" w:space="0" w:color="auto"/>
            </w:tcBorders>
            <w:shd w:val="clear" w:color="auto" w:fill="auto"/>
            <w:noWrap/>
            <w:tcMar>
              <w:left w:w="43" w:type="dxa"/>
              <w:right w:w="43" w:type="dxa"/>
            </w:tcMar>
            <w:vAlign w:val="center"/>
          </w:tcPr>
          <w:p w14:paraId="38440D7D" w14:textId="77777777" w:rsidR="00E465D0" w:rsidRPr="0023465E" w:rsidRDefault="00E465D0" w:rsidP="00745B90">
            <w:pPr>
              <w:spacing w:after="0"/>
              <w:jc w:val="center"/>
              <w:rPr>
                <w:rFonts w:eastAsia="Times New Roman"/>
                <w:color w:val="000000"/>
                <w:sz w:val="22"/>
                <w:szCs w:val="22"/>
              </w:rPr>
            </w:pPr>
          </w:p>
        </w:tc>
        <w:tc>
          <w:tcPr>
            <w:tcW w:w="634" w:type="dxa"/>
            <w:gridSpan w:val="2"/>
            <w:vMerge/>
            <w:tcBorders>
              <w:left w:val="single" w:sz="4" w:space="0" w:color="auto"/>
              <w:right w:val="double" w:sz="4" w:space="0" w:color="auto"/>
            </w:tcBorders>
            <w:shd w:val="clear" w:color="auto" w:fill="auto"/>
            <w:tcMar>
              <w:left w:w="43" w:type="dxa"/>
              <w:right w:w="43" w:type="dxa"/>
            </w:tcMar>
            <w:vAlign w:val="center"/>
          </w:tcPr>
          <w:p w14:paraId="25C641F6"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41DD5422"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62F1670E"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620B6198"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69ABF86E"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0566899A"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49B9932A"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6F4F9144"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5A84C3D4"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32598C09"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305DFDF4" w14:textId="77777777" w:rsidR="00E465D0" w:rsidRPr="0023465E" w:rsidRDefault="00E465D0" w:rsidP="00745B90">
            <w:pPr>
              <w:spacing w:after="0"/>
              <w:jc w:val="center"/>
              <w:rPr>
                <w:color w:val="000000"/>
                <w:sz w:val="22"/>
                <w:szCs w:val="22"/>
              </w:rPr>
            </w:pPr>
          </w:p>
        </w:tc>
        <w:tc>
          <w:tcPr>
            <w:tcW w:w="720"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20E43476"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6DBD5CE5" w14:textId="77777777" w:rsidR="00E465D0" w:rsidRPr="0023465E" w:rsidRDefault="00E465D0" w:rsidP="00745B90">
            <w:pPr>
              <w:spacing w:after="0"/>
              <w:jc w:val="center"/>
              <w:rPr>
                <w:color w:val="000000"/>
                <w:sz w:val="22"/>
                <w:szCs w:val="22"/>
              </w:rPr>
            </w:pPr>
          </w:p>
        </w:tc>
        <w:tc>
          <w:tcPr>
            <w:tcW w:w="810" w:type="dxa"/>
            <w:tcBorders>
              <w:top w:val="single" w:sz="4" w:space="0" w:color="auto"/>
              <w:left w:val="double" w:sz="4" w:space="0" w:color="auto"/>
              <w:bottom w:val="double" w:sz="4" w:space="0" w:color="auto"/>
              <w:right w:val="double" w:sz="4" w:space="0" w:color="auto"/>
            </w:tcBorders>
            <w:shd w:val="clear" w:color="auto" w:fill="auto"/>
            <w:noWrap/>
            <w:tcMar>
              <w:left w:w="43" w:type="dxa"/>
              <w:right w:w="43" w:type="dxa"/>
            </w:tcMar>
            <w:vAlign w:val="center"/>
          </w:tcPr>
          <w:p w14:paraId="14A1A8B7"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100%</w:t>
            </w:r>
          </w:p>
        </w:tc>
      </w:tr>
      <w:tr w:rsidR="0023465E" w:rsidRPr="0023465E" w14:paraId="19437537" w14:textId="77777777" w:rsidTr="00745B90">
        <w:trPr>
          <w:trHeight w:val="432"/>
        </w:trPr>
        <w:tc>
          <w:tcPr>
            <w:tcW w:w="133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55198839"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Leisure Travel**</w:t>
            </w:r>
          </w:p>
          <w:p w14:paraId="4F8BC880"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(N=1920)</w:t>
            </w:r>
          </w:p>
        </w:tc>
        <w:tc>
          <w:tcPr>
            <w:tcW w:w="1124" w:type="dxa"/>
            <w:vMerge w:val="restart"/>
            <w:tcBorders>
              <w:top w:val="double" w:sz="4" w:space="0" w:color="auto"/>
              <w:left w:val="single" w:sz="4" w:space="0" w:color="auto"/>
              <w:right w:val="double" w:sz="4" w:space="0" w:color="auto"/>
            </w:tcBorders>
            <w:shd w:val="clear" w:color="auto" w:fill="auto"/>
            <w:noWrap/>
            <w:tcMar>
              <w:left w:w="43" w:type="dxa"/>
              <w:right w:w="43" w:type="dxa"/>
            </w:tcMar>
            <w:vAlign w:val="center"/>
            <w:hideMark/>
          </w:tcPr>
          <w:p w14:paraId="4097AF84"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Less than 5.31 stops per week</w:t>
            </w:r>
          </w:p>
        </w:tc>
        <w:tc>
          <w:tcPr>
            <w:tcW w:w="764"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16352CB4"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542</w:t>
            </w:r>
          </w:p>
        </w:tc>
        <w:tc>
          <w:tcPr>
            <w:tcW w:w="634" w:type="dxa"/>
            <w:gridSpan w:val="2"/>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1100AF63"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47.4</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62553311"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91</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799505AA"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8.0</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65073993"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66</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6138AF1E"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5.8</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56A2EF42"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55</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43C19D41"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4.8</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75BA9E20"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152</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135137D3"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13.3</w:t>
            </w:r>
          </w:p>
        </w:tc>
        <w:tc>
          <w:tcPr>
            <w:tcW w:w="763"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2DD7596B"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81</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398E2774"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7.1</w:t>
            </w:r>
          </w:p>
        </w:tc>
        <w:tc>
          <w:tcPr>
            <w:tcW w:w="720" w:type="dxa"/>
            <w:vMerge w:val="restart"/>
            <w:tcBorders>
              <w:top w:val="double" w:sz="4" w:space="0" w:color="auto"/>
              <w:left w:val="double" w:sz="4" w:space="0" w:color="auto"/>
              <w:right w:val="single" w:sz="4" w:space="0" w:color="auto"/>
            </w:tcBorders>
            <w:shd w:val="clear" w:color="auto" w:fill="auto"/>
            <w:noWrap/>
            <w:tcMar>
              <w:left w:w="43" w:type="dxa"/>
              <w:right w:w="43" w:type="dxa"/>
            </w:tcMar>
            <w:vAlign w:val="center"/>
            <w:hideMark/>
          </w:tcPr>
          <w:p w14:paraId="1D8C4EDB"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156</w:t>
            </w:r>
          </w:p>
        </w:tc>
        <w:tc>
          <w:tcPr>
            <w:tcW w:w="587" w:type="dxa"/>
            <w:vMerge w:val="restart"/>
            <w:tcBorders>
              <w:top w:val="double" w:sz="4" w:space="0" w:color="auto"/>
              <w:left w:val="single" w:sz="4" w:space="0" w:color="auto"/>
              <w:right w:val="double" w:sz="4" w:space="0" w:color="auto"/>
            </w:tcBorders>
            <w:shd w:val="clear" w:color="auto" w:fill="auto"/>
            <w:tcMar>
              <w:left w:w="43" w:type="dxa"/>
              <w:right w:w="43" w:type="dxa"/>
            </w:tcMar>
            <w:vAlign w:val="center"/>
          </w:tcPr>
          <w:p w14:paraId="2AB9E680"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13.6</w:t>
            </w:r>
          </w:p>
        </w:tc>
        <w:tc>
          <w:tcPr>
            <w:tcW w:w="810" w:type="dxa"/>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38CC8628"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1143</w:t>
            </w:r>
          </w:p>
        </w:tc>
      </w:tr>
      <w:tr w:rsidR="0023465E" w:rsidRPr="0023465E" w14:paraId="29CF721B" w14:textId="77777777" w:rsidTr="00745B90">
        <w:trPr>
          <w:trHeight w:val="432"/>
        </w:trPr>
        <w:tc>
          <w:tcPr>
            <w:tcW w:w="1333" w:type="dxa"/>
            <w:vMerge/>
            <w:tcBorders>
              <w:left w:val="double" w:sz="4" w:space="0" w:color="auto"/>
              <w:right w:val="single" w:sz="4" w:space="0" w:color="auto"/>
            </w:tcBorders>
            <w:shd w:val="clear" w:color="auto" w:fill="auto"/>
            <w:noWrap/>
            <w:tcMar>
              <w:left w:w="43" w:type="dxa"/>
              <w:right w:w="43" w:type="dxa"/>
            </w:tcMar>
            <w:vAlign w:val="center"/>
          </w:tcPr>
          <w:p w14:paraId="4BF479CC" w14:textId="77777777" w:rsidR="00E465D0" w:rsidRPr="0023465E" w:rsidRDefault="00E465D0" w:rsidP="00745B90">
            <w:pPr>
              <w:spacing w:after="0"/>
              <w:jc w:val="center"/>
              <w:rPr>
                <w:rFonts w:eastAsia="Times New Roman"/>
                <w:b/>
                <w:bCs/>
                <w:color w:val="000000"/>
                <w:sz w:val="22"/>
                <w:szCs w:val="22"/>
              </w:rPr>
            </w:pPr>
          </w:p>
        </w:tc>
        <w:tc>
          <w:tcPr>
            <w:tcW w:w="1124" w:type="dxa"/>
            <w:vMerge/>
            <w:tcBorders>
              <w:left w:val="single" w:sz="4" w:space="0" w:color="auto"/>
              <w:bottom w:val="single" w:sz="4" w:space="0" w:color="auto"/>
              <w:right w:val="double" w:sz="4" w:space="0" w:color="auto"/>
            </w:tcBorders>
            <w:shd w:val="clear" w:color="auto" w:fill="auto"/>
            <w:noWrap/>
            <w:tcMar>
              <w:left w:w="43" w:type="dxa"/>
              <w:right w:w="43" w:type="dxa"/>
            </w:tcMar>
            <w:vAlign w:val="center"/>
          </w:tcPr>
          <w:p w14:paraId="7CF17780" w14:textId="77777777" w:rsidR="00E465D0" w:rsidRPr="0023465E" w:rsidRDefault="00E465D0" w:rsidP="00745B90">
            <w:pPr>
              <w:spacing w:after="0"/>
              <w:jc w:val="center"/>
              <w:rPr>
                <w:rFonts w:eastAsia="Times New Roman"/>
                <w:b/>
                <w:bCs/>
                <w:color w:val="000000"/>
                <w:sz w:val="22"/>
                <w:szCs w:val="22"/>
              </w:rPr>
            </w:pPr>
          </w:p>
        </w:tc>
        <w:tc>
          <w:tcPr>
            <w:tcW w:w="764"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56825505" w14:textId="77777777" w:rsidR="00E465D0" w:rsidRPr="0023465E" w:rsidRDefault="00E465D0" w:rsidP="00745B90">
            <w:pPr>
              <w:spacing w:after="0"/>
              <w:jc w:val="center"/>
              <w:rPr>
                <w:rFonts w:eastAsia="Times New Roman"/>
                <w:color w:val="000000"/>
                <w:sz w:val="22"/>
                <w:szCs w:val="22"/>
              </w:rPr>
            </w:pPr>
          </w:p>
        </w:tc>
        <w:tc>
          <w:tcPr>
            <w:tcW w:w="634" w:type="dxa"/>
            <w:gridSpan w:val="2"/>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610493D4"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07A82541"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58A9DE0B"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07B82504"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3E70B5D6"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04FCB31B"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6D6FB68C"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71BB0B59"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2FAF4427" w14:textId="77777777" w:rsidR="00E465D0" w:rsidRPr="0023465E" w:rsidRDefault="00E465D0" w:rsidP="00745B90">
            <w:pPr>
              <w:spacing w:after="0"/>
              <w:jc w:val="center"/>
              <w:rPr>
                <w:color w:val="000000"/>
                <w:sz w:val="22"/>
                <w:szCs w:val="22"/>
              </w:rPr>
            </w:pPr>
          </w:p>
        </w:tc>
        <w:tc>
          <w:tcPr>
            <w:tcW w:w="763"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71D65884"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470EC3AD" w14:textId="77777777" w:rsidR="00E465D0" w:rsidRPr="0023465E" w:rsidRDefault="00E465D0" w:rsidP="00745B90">
            <w:pPr>
              <w:spacing w:after="0"/>
              <w:jc w:val="center"/>
              <w:rPr>
                <w:color w:val="000000"/>
                <w:sz w:val="22"/>
                <w:szCs w:val="22"/>
              </w:rPr>
            </w:pPr>
          </w:p>
        </w:tc>
        <w:tc>
          <w:tcPr>
            <w:tcW w:w="720" w:type="dxa"/>
            <w:vMerge/>
            <w:tcBorders>
              <w:left w:val="double" w:sz="4" w:space="0" w:color="auto"/>
              <w:bottom w:val="single" w:sz="4" w:space="0" w:color="auto"/>
              <w:right w:val="single" w:sz="4" w:space="0" w:color="auto"/>
            </w:tcBorders>
            <w:shd w:val="clear" w:color="auto" w:fill="auto"/>
            <w:noWrap/>
            <w:tcMar>
              <w:left w:w="43" w:type="dxa"/>
              <w:right w:w="43" w:type="dxa"/>
            </w:tcMar>
            <w:vAlign w:val="center"/>
          </w:tcPr>
          <w:p w14:paraId="1C75AA47" w14:textId="77777777" w:rsidR="00E465D0" w:rsidRPr="0023465E" w:rsidRDefault="00E465D0" w:rsidP="00745B90">
            <w:pPr>
              <w:spacing w:after="0"/>
              <w:jc w:val="center"/>
              <w:rPr>
                <w:rFonts w:eastAsia="Times New Roman"/>
                <w:color w:val="000000"/>
                <w:sz w:val="22"/>
                <w:szCs w:val="22"/>
              </w:rPr>
            </w:pPr>
          </w:p>
        </w:tc>
        <w:tc>
          <w:tcPr>
            <w:tcW w:w="587" w:type="dxa"/>
            <w:vMerge/>
            <w:tcBorders>
              <w:left w:val="single" w:sz="4" w:space="0" w:color="auto"/>
              <w:bottom w:val="single" w:sz="4" w:space="0" w:color="auto"/>
              <w:right w:val="double" w:sz="4" w:space="0" w:color="auto"/>
            </w:tcBorders>
            <w:shd w:val="clear" w:color="auto" w:fill="auto"/>
            <w:tcMar>
              <w:left w:w="43" w:type="dxa"/>
              <w:right w:w="43" w:type="dxa"/>
            </w:tcMar>
            <w:vAlign w:val="center"/>
          </w:tcPr>
          <w:p w14:paraId="691224E1" w14:textId="77777777" w:rsidR="00E465D0" w:rsidRPr="0023465E" w:rsidRDefault="00E465D0" w:rsidP="00745B90">
            <w:pPr>
              <w:spacing w:after="0"/>
              <w:jc w:val="center"/>
              <w:rPr>
                <w:color w:val="000000"/>
                <w:sz w:val="22"/>
                <w:szCs w:val="22"/>
              </w:rPr>
            </w:pPr>
          </w:p>
        </w:tc>
        <w:tc>
          <w:tcPr>
            <w:tcW w:w="810" w:type="dxa"/>
            <w:tcBorders>
              <w:top w:val="sing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tcPr>
          <w:p w14:paraId="781DC9B1"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100%</w:t>
            </w:r>
          </w:p>
        </w:tc>
      </w:tr>
      <w:tr w:rsidR="0023465E" w:rsidRPr="0023465E" w14:paraId="34FDC450" w14:textId="77777777" w:rsidTr="00745B90">
        <w:trPr>
          <w:trHeight w:val="432"/>
        </w:trPr>
        <w:tc>
          <w:tcPr>
            <w:tcW w:w="1333" w:type="dxa"/>
            <w:vMerge/>
            <w:tcBorders>
              <w:left w:val="double" w:sz="4" w:space="0" w:color="auto"/>
              <w:right w:val="single" w:sz="4" w:space="0" w:color="auto"/>
            </w:tcBorders>
            <w:tcMar>
              <w:left w:w="43" w:type="dxa"/>
              <w:right w:w="43" w:type="dxa"/>
            </w:tcMar>
            <w:vAlign w:val="center"/>
            <w:hideMark/>
          </w:tcPr>
          <w:p w14:paraId="16593161" w14:textId="77777777" w:rsidR="00E465D0" w:rsidRPr="0023465E" w:rsidRDefault="00E465D0" w:rsidP="00745B90">
            <w:pPr>
              <w:spacing w:after="0"/>
              <w:rPr>
                <w:rFonts w:eastAsia="Times New Roman"/>
                <w:b/>
                <w:bCs/>
                <w:color w:val="000000"/>
                <w:sz w:val="22"/>
                <w:szCs w:val="22"/>
              </w:rPr>
            </w:pPr>
          </w:p>
        </w:tc>
        <w:tc>
          <w:tcPr>
            <w:tcW w:w="1124" w:type="dxa"/>
            <w:vMerge w:val="restart"/>
            <w:tcBorders>
              <w:top w:val="single" w:sz="4" w:space="0" w:color="auto"/>
              <w:left w:val="single" w:sz="4" w:space="0" w:color="auto"/>
              <w:bottom w:val="double" w:sz="4" w:space="0" w:color="auto"/>
              <w:right w:val="double" w:sz="4" w:space="0" w:color="auto"/>
            </w:tcBorders>
            <w:shd w:val="clear" w:color="auto" w:fill="auto"/>
            <w:noWrap/>
            <w:tcMar>
              <w:left w:w="43" w:type="dxa"/>
              <w:right w:w="43" w:type="dxa"/>
            </w:tcMar>
            <w:vAlign w:val="center"/>
            <w:hideMark/>
          </w:tcPr>
          <w:p w14:paraId="76C81939" w14:textId="77777777" w:rsidR="00E465D0" w:rsidRPr="0023465E" w:rsidRDefault="00E465D0" w:rsidP="00745B90">
            <w:pPr>
              <w:spacing w:after="0"/>
              <w:jc w:val="center"/>
              <w:rPr>
                <w:rFonts w:eastAsia="Times New Roman"/>
                <w:b/>
                <w:bCs/>
                <w:color w:val="000000"/>
                <w:sz w:val="22"/>
                <w:szCs w:val="22"/>
              </w:rPr>
            </w:pPr>
            <w:r w:rsidRPr="0023465E">
              <w:rPr>
                <w:rFonts w:eastAsia="Times New Roman"/>
                <w:b/>
                <w:bCs/>
                <w:color w:val="000000"/>
                <w:sz w:val="22"/>
                <w:szCs w:val="22"/>
              </w:rPr>
              <w:t>More than 5.31 stops per week</w:t>
            </w:r>
          </w:p>
        </w:tc>
        <w:tc>
          <w:tcPr>
            <w:tcW w:w="764" w:type="dxa"/>
            <w:vMerge w:val="restart"/>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757C8861"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333</w:t>
            </w:r>
          </w:p>
        </w:tc>
        <w:tc>
          <w:tcPr>
            <w:tcW w:w="634" w:type="dxa"/>
            <w:gridSpan w:val="2"/>
            <w:vMerge w:val="restart"/>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4588E800"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42.9</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30391E18"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55</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1A444D3F"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7.1</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49542B26"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61</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3D0832A9"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7.9</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7E8C5FC6"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46</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6A431BB9"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5.9</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2B8B7E85"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106</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218186E4"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13.6</w:t>
            </w:r>
          </w:p>
        </w:tc>
        <w:tc>
          <w:tcPr>
            <w:tcW w:w="763" w:type="dxa"/>
            <w:vMerge w:val="restart"/>
            <w:tcBorders>
              <w:top w:val="single" w:sz="4" w:space="0" w:color="auto"/>
              <w:left w:val="double" w:sz="4" w:space="0" w:color="auto"/>
              <w:right w:val="single" w:sz="4" w:space="0" w:color="auto"/>
            </w:tcBorders>
            <w:shd w:val="clear" w:color="auto" w:fill="auto"/>
            <w:noWrap/>
            <w:tcMar>
              <w:left w:w="43" w:type="dxa"/>
              <w:right w:w="43" w:type="dxa"/>
            </w:tcMar>
            <w:vAlign w:val="center"/>
            <w:hideMark/>
          </w:tcPr>
          <w:p w14:paraId="012092C0"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66</w:t>
            </w:r>
          </w:p>
        </w:tc>
        <w:tc>
          <w:tcPr>
            <w:tcW w:w="587" w:type="dxa"/>
            <w:vMerge w:val="restart"/>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59AA92E2"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8.5</w:t>
            </w:r>
          </w:p>
        </w:tc>
        <w:tc>
          <w:tcPr>
            <w:tcW w:w="720" w:type="dxa"/>
            <w:vMerge w:val="restart"/>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7FD1DEB6" w14:textId="77777777" w:rsidR="00E465D0" w:rsidRPr="0023465E" w:rsidRDefault="00E465D0" w:rsidP="00745B90">
            <w:pPr>
              <w:spacing w:after="0"/>
              <w:jc w:val="center"/>
              <w:rPr>
                <w:rFonts w:eastAsia="Times New Roman"/>
                <w:color w:val="000000"/>
                <w:sz w:val="22"/>
                <w:szCs w:val="22"/>
              </w:rPr>
            </w:pPr>
            <w:r w:rsidRPr="0023465E">
              <w:rPr>
                <w:rFonts w:eastAsia="Times New Roman"/>
                <w:color w:val="000000"/>
                <w:sz w:val="22"/>
                <w:szCs w:val="22"/>
              </w:rPr>
              <w:t>110</w:t>
            </w:r>
          </w:p>
        </w:tc>
        <w:tc>
          <w:tcPr>
            <w:tcW w:w="587" w:type="dxa"/>
            <w:vMerge w:val="restart"/>
            <w:tcBorders>
              <w:top w:val="single" w:sz="4" w:space="0" w:color="auto"/>
              <w:left w:val="single" w:sz="4" w:space="0" w:color="auto"/>
              <w:right w:val="double" w:sz="4" w:space="0" w:color="auto"/>
            </w:tcBorders>
            <w:shd w:val="clear" w:color="auto" w:fill="auto"/>
            <w:tcMar>
              <w:left w:w="43" w:type="dxa"/>
              <w:right w:w="43" w:type="dxa"/>
            </w:tcMar>
            <w:vAlign w:val="center"/>
          </w:tcPr>
          <w:p w14:paraId="3159E607" w14:textId="77777777" w:rsidR="00E465D0" w:rsidRPr="0023465E" w:rsidRDefault="00E465D0" w:rsidP="00745B90">
            <w:pPr>
              <w:spacing w:after="0"/>
              <w:jc w:val="center"/>
              <w:rPr>
                <w:rFonts w:eastAsia="Times New Roman"/>
                <w:color w:val="000000"/>
                <w:sz w:val="22"/>
                <w:szCs w:val="22"/>
              </w:rPr>
            </w:pPr>
            <w:r w:rsidRPr="0023465E">
              <w:rPr>
                <w:color w:val="000000"/>
                <w:sz w:val="22"/>
                <w:szCs w:val="22"/>
              </w:rPr>
              <w:t>14.2</w:t>
            </w:r>
          </w:p>
        </w:tc>
        <w:tc>
          <w:tcPr>
            <w:tcW w:w="810" w:type="dxa"/>
            <w:tcBorders>
              <w:top w:val="sing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60DA6266"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777</w:t>
            </w:r>
          </w:p>
        </w:tc>
      </w:tr>
      <w:tr w:rsidR="0023465E" w:rsidRPr="0023465E" w14:paraId="2B9BEBA2" w14:textId="77777777" w:rsidTr="00745B90">
        <w:trPr>
          <w:trHeight w:val="432"/>
        </w:trPr>
        <w:tc>
          <w:tcPr>
            <w:tcW w:w="1333" w:type="dxa"/>
            <w:vMerge/>
            <w:tcBorders>
              <w:left w:val="double" w:sz="4" w:space="0" w:color="auto"/>
              <w:bottom w:val="double" w:sz="4" w:space="0" w:color="auto"/>
              <w:right w:val="single" w:sz="4" w:space="0" w:color="auto"/>
            </w:tcBorders>
            <w:tcMar>
              <w:left w:w="43" w:type="dxa"/>
              <w:right w:w="43" w:type="dxa"/>
            </w:tcMar>
            <w:vAlign w:val="center"/>
          </w:tcPr>
          <w:p w14:paraId="06610210" w14:textId="77777777" w:rsidR="00E465D0" w:rsidRPr="0023465E" w:rsidRDefault="00E465D0" w:rsidP="00745B90">
            <w:pPr>
              <w:spacing w:after="0"/>
              <w:rPr>
                <w:rFonts w:eastAsia="Times New Roman"/>
                <w:b/>
                <w:bCs/>
                <w:color w:val="000000"/>
                <w:sz w:val="22"/>
                <w:szCs w:val="22"/>
              </w:rPr>
            </w:pPr>
          </w:p>
        </w:tc>
        <w:tc>
          <w:tcPr>
            <w:tcW w:w="1124" w:type="dxa"/>
            <w:vMerge/>
            <w:tcBorders>
              <w:top w:val="single" w:sz="4" w:space="0" w:color="auto"/>
              <w:left w:val="single" w:sz="4" w:space="0" w:color="auto"/>
              <w:bottom w:val="double" w:sz="4" w:space="0" w:color="auto"/>
              <w:right w:val="double" w:sz="4" w:space="0" w:color="auto"/>
            </w:tcBorders>
            <w:shd w:val="clear" w:color="auto" w:fill="auto"/>
            <w:noWrap/>
            <w:tcMar>
              <w:left w:w="43" w:type="dxa"/>
              <w:right w:w="43" w:type="dxa"/>
            </w:tcMar>
            <w:vAlign w:val="center"/>
          </w:tcPr>
          <w:p w14:paraId="5298E0D9" w14:textId="77777777" w:rsidR="00E465D0" w:rsidRPr="0023465E" w:rsidRDefault="00E465D0" w:rsidP="00745B90">
            <w:pPr>
              <w:spacing w:after="0"/>
              <w:jc w:val="center"/>
              <w:rPr>
                <w:rFonts w:eastAsia="Times New Roman"/>
                <w:b/>
                <w:bCs/>
                <w:color w:val="000000"/>
                <w:sz w:val="22"/>
                <w:szCs w:val="22"/>
              </w:rPr>
            </w:pPr>
          </w:p>
        </w:tc>
        <w:tc>
          <w:tcPr>
            <w:tcW w:w="764" w:type="dxa"/>
            <w:vMerge/>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tcPr>
          <w:p w14:paraId="4DF6D825" w14:textId="77777777" w:rsidR="00E465D0" w:rsidRPr="0023465E" w:rsidRDefault="00E465D0" w:rsidP="00745B90">
            <w:pPr>
              <w:spacing w:after="0"/>
              <w:jc w:val="right"/>
              <w:rPr>
                <w:rFonts w:eastAsia="Times New Roman"/>
                <w:color w:val="000000"/>
                <w:sz w:val="22"/>
                <w:szCs w:val="22"/>
              </w:rPr>
            </w:pPr>
          </w:p>
        </w:tc>
        <w:tc>
          <w:tcPr>
            <w:tcW w:w="634" w:type="dxa"/>
            <w:gridSpan w:val="2"/>
            <w:vMerge/>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11CEF230" w14:textId="77777777" w:rsidR="00E465D0" w:rsidRPr="0023465E" w:rsidRDefault="00E465D0" w:rsidP="00745B90">
            <w:pPr>
              <w:spacing w:after="0"/>
              <w:jc w:val="right"/>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4B2DE0BF" w14:textId="77777777" w:rsidR="00E465D0" w:rsidRPr="0023465E" w:rsidRDefault="00E465D0" w:rsidP="00745B90">
            <w:pPr>
              <w:spacing w:after="0"/>
              <w:jc w:val="right"/>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3A13D9E7" w14:textId="77777777" w:rsidR="00E465D0" w:rsidRPr="0023465E" w:rsidRDefault="00E465D0" w:rsidP="00745B90">
            <w:pPr>
              <w:spacing w:after="0"/>
              <w:jc w:val="right"/>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269B3695" w14:textId="77777777" w:rsidR="00E465D0" w:rsidRPr="0023465E" w:rsidRDefault="00E465D0" w:rsidP="00745B90">
            <w:pPr>
              <w:spacing w:after="0"/>
              <w:jc w:val="right"/>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2B89A66E" w14:textId="77777777" w:rsidR="00E465D0" w:rsidRPr="0023465E" w:rsidRDefault="00E465D0" w:rsidP="00745B90">
            <w:pPr>
              <w:spacing w:after="0"/>
              <w:jc w:val="right"/>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5AC29B8E" w14:textId="77777777" w:rsidR="00E465D0" w:rsidRPr="0023465E" w:rsidRDefault="00E465D0" w:rsidP="00745B90">
            <w:pPr>
              <w:spacing w:after="0"/>
              <w:jc w:val="right"/>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76D68F5E" w14:textId="77777777" w:rsidR="00E465D0" w:rsidRPr="0023465E" w:rsidRDefault="00E465D0" w:rsidP="00745B90">
            <w:pPr>
              <w:spacing w:after="0"/>
              <w:jc w:val="right"/>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204701DC" w14:textId="77777777" w:rsidR="00E465D0" w:rsidRPr="0023465E" w:rsidRDefault="00E465D0" w:rsidP="00745B90">
            <w:pPr>
              <w:spacing w:after="0"/>
              <w:jc w:val="right"/>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5F1F2060" w14:textId="77777777" w:rsidR="00E465D0" w:rsidRPr="0023465E" w:rsidRDefault="00E465D0" w:rsidP="00745B90">
            <w:pPr>
              <w:spacing w:after="0"/>
              <w:jc w:val="right"/>
              <w:rPr>
                <w:color w:val="000000"/>
                <w:sz w:val="22"/>
                <w:szCs w:val="22"/>
              </w:rPr>
            </w:pPr>
          </w:p>
        </w:tc>
        <w:tc>
          <w:tcPr>
            <w:tcW w:w="763" w:type="dxa"/>
            <w:vMerge/>
            <w:tcBorders>
              <w:left w:val="double" w:sz="4" w:space="0" w:color="auto"/>
              <w:bottom w:val="double" w:sz="4" w:space="0" w:color="auto"/>
              <w:right w:val="single" w:sz="4" w:space="0" w:color="auto"/>
            </w:tcBorders>
            <w:shd w:val="clear" w:color="auto" w:fill="auto"/>
            <w:noWrap/>
            <w:tcMar>
              <w:left w:w="43" w:type="dxa"/>
              <w:right w:w="43" w:type="dxa"/>
            </w:tcMar>
            <w:vAlign w:val="center"/>
          </w:tcPr>
          <w:p w14:paraId="4829D958" w14:textId="77777777" w:rsidR="00E465D0" w:rsidRPr="0023465E" w:rsidRDefault="00E465D0" w:rsidP="00745B90">
            <w:pPr>
              <w:spacing w:after="0"/>
              <w:jc w:val="right"/>
              <w:rPr>
                <w:rFonts w:eastAsia="Times New Roman"/>
                <w:color w:val="000000"/>
                <w:sz w:val="22"/>
                <w:szCs w:val="22"/>
              </w:rPr>
            </w:pPr>
          </w:p>
        </w:tc>
        <w:tc>
          <w:tcPr>
            <w:tcW w:w="587" w:type="dxa"/>
            <w:vMerge/>
            <w:tcBorders>
              <w:top w:val="single" w:sz="4" w:space="0" w:color="auto"/>
              <w:left w:val="single" w:sz="4" w:space="0" w:color="auto"/>
              <w:bottom w:val="double" w:sz="4" w:space="0" w:color="auto"/>
              <w:right w:val="double" w:sz="4" w:space="0" w:color="auto"/>
            </w:tcBorders>
            <w:shd w:val="clear" w:color="auto" w:fill="auto"/>
            <w:tcMar>
              <w:left w:w="43" w:type="dxa"/>
              <w:right w:w="43" w:type="dxa"/>
            </w:tcMar>
            <w:vAlign w:val="center"/>
          </w:tcPr>
          <w:p w14:paraId="0883CFFA" w14:textId="77777777" w:rsidR="00E465D0" w:rsidRPr="0023465E" w:rsidRDefault="00E465D0" w:rsidP="00745B90">
            <w:pPr>
              <w:spacing w:after="0"/>
              <w:jc w:val="right"/>
              <w:rPr>
                <w:color w:val="000000"/>
                <w:sz w:val="22"/>
                <w:szCs w:val="22"/>
              </w:rPr>
            </w:pPr>
          </w:p>
        </w:tc>
        <w:tc>
          <w:tcPr>
            <w:tcW w:w="720" w:type="dxa"/>
            <w:vMerge/>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tcPr>
          <w:p w14:paraId="43CE567A" w14:textId="77777777" w:rsidR="00E465D0" w:rsidRPr="0023465E" w:rsidRDefault="00E465D0" w:rsidP="00745B90">
            <w:pPr>
              <w:spacing w:after="0"/>
              <w:jc w:val="right"/>
              <w:rPr>
                <w:rFonts w:eastAsia="Times New Roman"/>
                <w:color w:val="000000"/>
                <w:sz w:val="22"/>
                <w:szCs w:val="22"/>
              </w:rPr>
            </w:pPr>
          </w:p>
        </w:tc>
        <w:tc>
          <w:tcPr>
            <w:tcW w:w="587" w:type="dxa"/>
            <w:vMerge/>
            <w:tcBorders>
              <w:left w:val="single" w:sz="4" w:space="0" w:color="auto"/>
              <w:bottom w:val="double" w:sz="4" w:space="0" w:color="auto"/>
              <w:right w:val="double" w:sz="4" w:space="0" w:color="auto"/>
            </w:tcBorders>
            <w:shd w:val="clear" w:color="auto" w:fill="auto"/>
            <w:tcMar>
              <w:left w:w="43" w:type="dxa"/>
              <w:right w:w="43" w:type="dxa"/>
            </w:tcMar>
            <w:vAlign w:val="center"/>
          </w:tcPr>
          <w:p w14:paraId="5DD86A0C" w14:textId="77777777" w:rsidR="00E465D0" w:rsidRPr="0023465E" w:rsidRDefault="00E465D0" w:rsidP="00745B90">
            <w:pPr>
              <w:spacing w:after="0"/>
              <w:jc w:val="right"/>
              <w:rPr>
                <w:color w:val="000000"/>
                <w:sz w:val="22"/>
                <w:szCs w:val="22"/>
              </w:rPr>
            </w:pPr>
          </w:p>
        </w:tc>
        <w:tc>
          <w:tcPr>
            <w:tcW w:w="810" w:type="dxa"/>
            <w:tcBorders>
              <w:top w:val="single" w:sz="4" w:space="0" w:color="auto"/>
              <w:left w:val="double" w:sz="4" w:space="0" w:color="auto"/>
              <w:bottom w:val="double" w:sz="4" w:space="0" w:color="auto"/>
              <w:right w:val="double" w:sz="4" w:space="0" w:color="auto"/>
            </w:tcBorders>
            <w:shd w:val="clear" w:color="auto" w:fill="auto"/>
            <w:noWrap/>
            <w:tcMar>
              <w:left w:w="43" w:type="dxa"/>
              <w:right w:w="43" w:type="dxa"/>
            </w:tcMar>
            <w:vAlign w:val="center"/>
          </w:tcPr>
          <w:p w14:paraId="5269457F" w14:textId="77777777" w:rsidR="00E465D0" w:rsidRPr="0023465E" w:rsidRDefault="00E465D0" w:rsidP="00745B90">
            <w:pPr>
              <w:spacing w:after="0"/>
              <w:jc w:val="right"/>
              <w:rPr>
                <w:rFonts w:eastAsia="Times New Roman"/>
                <w:color w:val="000000"/>
                <w:sz w:val="22"/>
                <w:szCs w:val="22"/>
              </w:rPr>
            </w:pPr>
            <w:r w:rsidRPr="0023465E">
              <w:rPr>
                <w:rFonts w:eastAsia="Times New Roman"/>
                <w:color w:val="000000"/>
                <w:sz w:val="22"/>
                <w:szCs w:val="22"/>
              </w:rPr>
              <w:t>100%</w:t>
            </w:r>
          </w:p>
        </w:tc>
      </w:tr>
    </w:tbl>
    <w:p w14:paraId="17AB7F2B" w14:textId="5A4FD6C8" w:rsidR="00E465D0" w:rsidRPr="00E465D0" w:rsidRDefault="00E465D0" w:rsidP="00745B90">
      <w:pPr>
        <w:spacing w:after="0"/>
        <w:rPr>
          <w:b/>
          <w:bCs/>
        </w:rPr>
      </w:pPr>
      <w:r w:rsidRPr="00E465D0">
        <w:rPr>
          <w:b/>
          <w:bCs/>
        </w:rPr>
        <w:t>Table 3</w:t>
      </w:r>
      <w:r w:rsidR="005D4542">
        <w:rPr>
          <w:b/>
          <w:bCs/>
        </w:rPr>
        <w:t>.</w:t>
      </w:r>
      <w:r w:rsidRPr="00E465D0">
        <w:rPr>
          <w:b/>
          <w:bCs/>
        </w:rPr>
        <w:t xml:space="preserve"> Telework Frequency as a Function of Nonwork Stops </w:t>
      </w:r>
    </w:p>
    <w:p w14:paraId="293A5BE1" w14:textId="77777777" w:rsidR="00E465D0" w:rsidRPr="00745B90" w:rsidRDefault="00E465D0" w:rsidP="00745B90">
      <w:pPr>
        <w:spacing w:after="0"/>
        <w:ind w:left="180"/>
        <w:jc w:val="left"/>
        <w:rPr>
          <w:sz w:val="20"/>
          <w:szCs w:val="20"/>
        </w:rPr>
      </w:pPr>
      <w:r w:rsidRPr="00745B90">
        <w:rPr>
          <w:b/>
          <w:bCs/>
          <w:sz w:val="20"/>
          <w:szCs w:val="20"/>
        </w:rPr>
        <w:t>*</w:t>
      </w:r>
      <w:r w:rsidRPr="00745B90">
        <w:rPr>
          <w:sz w:val="20"/>
          <w:szCs w:val="20"/>
        </w:rPr>
        <w:t>The average number of maintenance stops per week is 3.86 stops</w:t>
      </w:r>
    </w:p>
    <w:p w14:paraId="3EE3969D" w14:textId="77777777" w:rsidR="00E465D0" w:rsidRPr="00745B90" w:rsidRDefault="00E465D0" w:rsidP="00745B90">
      <w:pPr>
        <w:spacing w:after="0"/>
        <w:ind w:left="180"/>
        <w:jc w:val="left"/>
        <w:rPr>
          <w:sz w:val="20"/>
          <w:szCs w:val="20"/>
        </w:rPr>
      </w:pPr>
      <w:r w:rsidRPr="00745B90">
        <w:rPr>
          <w:sz w:val="20"/>
          <w:szCs w:val="20"/>
        </w:rPr>
        <w:t xml:space="preserve">** The average number of leisure stops per week is 5.31 stops. </w:t>
      </w:r>
    </w:p>
    <w:p w14:paraId="3C15D0A3" w14:textId="77777777" w:rsidR="00E465D0" w:rsidRPr="00745B90" w:rsidRDefault="00E465D0" w:rsidP="00745B90">
      <w:pPr>
        <w:ind w:left="180"/>
        <w:rPr>
          <w:sz w:val="20"/>
          <w:szCs w:val="20"/>
        </w:rPr>
      </w:pPr>
    </w:p>
    <w:p w14:paraId="79695385" w14:textId="77777777" w:rsidR="00E465D0" w:rsidRPr="00E465D0" w:rsidRDefault="00E465D0" w:rsidP="00E465D0">
      <w:pPr>
        <w:sectPr w:rsidR="00E465D0" w:rsidRPr="00E465D0" w:rsidSect="009552C0">
          <w:pgSz w:w="15840" w:h="12240" w:orient="landscape"/>
          <w:pgMar w:top="1440" w:right="1440" w:bottom="1440" w:left="1440" w:header="720" w:footer="720" w:gutter="0"/>
          <w:cols w:space="720"/>
          <w:docGrid w:linePitch="360"/>
        </w:sectPr>
      </w:pPr>
    </w:p>
    <w:p w14:paraId="58B60F73" w14:textId="5A213C40" w:rsidR="00E465D0" w:rsidRPr="00E465D0" w:rsidRDefault="00E465D0" w:rsidP="00E465D0">
      <w:pPr>
        <w:spacing w:after="0"/>
        <w:rPr>
          <w:b/>
          <w:bCs/>
        </w:rPr>
      </w:pPr>
      <w:r w:rsidRPr="00E465D0">
        <w:rPr>
          <w:b/>
          <w:bCs/>
        </w:rPr>
        <w:lastRenderedPageBreak/>
        <w:t>Table 4</w:t>
      </w:r>
      <w:r w:rsidR="005D4542">
        <w:rPr>
          <w:b/>
          <w:bCs/>
        </w:rPr>
        <w:t>.</w:t>
      </w:r>
      <w:r w:rsidRPr="00E465D0">
        <w:rPr>
          <w:b/>
          <w:bCs/>
        </w:rPr>
        <w:t xml:space="preserve"> Estimation Results for Endogenous Variables Within Each Segment</w:t>
      </w:r>
    </w:p>
    <w:tbl>
      <w:tblPr>
        <w:tblStyle w:val="TableGrid"/>
        <w:tblW w:w="9408" w:type="dxa"/>
        <w:tblInd w:w="-95" w:type="dxa"/>
        <w:tblLook w:val="04A0" w:firstRow="1" w:lastRow="0" w:firstColumn="1" w:lastColumn="0" w:noHBand="0" w:noVBand="1"/>
      </w:tblPr>
      <w:tblGrid>
        <w:gridCol w:w="4670"/>
        <w:gridCol w:w="810"/>
        <w:gridCol w:w="810"/>
        <w:gridCol w:w="810"/>
        <w:gridCol w:w="810"/>
        <w:gridCol w:w="774"/>
        <w:gridCol w:w="724"/>
      </w:tblGrid>
      <w:tr w:rsidR="00E465D0" w:rsidRPr="00745B90" w14:paraId="40081073" w14:textId="77777777" w:rsidTr="003003C4">
        <w:trPr>
          <w:trHeight w:val="245"/>
          <w:tblHeader/>
        </w:trPr>
        <w:tc>
          <w:tcPr>
            <w:tcW w:w="4670" w:type="dxa"/>
            <w:vMerge w:val="restart"/>
            <w:tcBorders>
              <w:top w:val="double" w:sz="4" w:space="0" w:color="auto"/>
              <w:left w:val="double" w:sz="4" w:space="0" w:color="auto"/>
            </w:tcBorders>
            <w:noWrap/>
            <w:tcMar>
              <w:left w:w="58" w:type="dxa"/>
              <w:right w:w="58" w:type="dxa"/>
            </w:tcMar>
            <w:vAlign w:val="center"/>
            <w:hideMark/>
          </w:tcPr>
          <w:p w14:paraId="5B7B8B9D" w14:textId="1AF88B1C" w:rsidR="00E465D0" w:rsidRPr="00745B90" w:rsidRDefault="00E465D0" w:rsidP="00745B90">
            <w:pPr>
              <w:jc w:val="left"/>
              <w:rPr>
                <w:rFonts w:eastAsia="Times New Roman"/>
                <w:b/>
                <w:bCs/>
                <w:sz w:val="20"/>
                <w:szCs w:val="20"/>
              </w:rPr>
            </w:pPr>
            <w:bookmarkStart w:id="31" w:name="_Hlk162186841"/>
            <w:r w:rsidRPr="00745B90">
              <w:rPr>
                <w:rFonts w:eastAsia="Times New Roman"/>
                <w:b/>
                <w:bCs/>
                <w:sz w:val="20"/>
                <w:szCs w:val="20"/>
              </w:rPr>
              <w:t xml:space="preserve">Exogenous </w:t>
            </w:r>
            <w:r w:rsidR="00745B90" w:rsidRPr="00745B90">
              <w:rPr>
                <w:rFonts w:eastAsia="Times New Roman"/>
                <w:b/>
                <w:bCs/>
                <w:sz w:val="20"/>
                <w:szCs w:val="20"/>
              </w:rPr>
              <w:t>V</w:t>
            </w:r>
            <w:r w:rsidRPr="00745B90">
              <w:rPr>
                <w:rFonts w:eastAsia="Times New Roman"/>
                <w:b/>
                <w:bCs/>
                <w:sz w:val="20"/>
                <w:szCs w:val="20"/>
              </w:rPr>
              <w:t>ariables</w:t>
            </w:r>
          </w:p>
        </w:tc>
        <w:tc>
          <w:tcPr>
            <w:tcW w:w="1620" w:type="dxa"/>
            <w:gridSpan w:val="2"/>
            <w:tcBorders>
              <w:top w:val="double" w:sz="4" w:space="0" w:color="auto"/>
            </w:tcBorders>
            <w:noWrap/>
            <w:tcMar>
              <w:left w:w="58" w:type="dxa"/>
              <w:right w:w="58" w:type="dxa"/>
            </w:tcMar>
            <w:vAlign w:val="center"/>
            <w:hideMark/>
          </w:tcPr>
          <w:p w14:paraId="2DA7E1E6"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Telework</w:t>
            </w:r>
          </w:p>
        </w:tc>
        <w:tc>
          <w:tcPr>
            <w:tcW w:w="1620" w:type="dxa"/>
            <w:gridSpan w:val="2"/>
            <w:tcBorders>
              <w:top w:val="double" w:sz="4" w:space="0" w:color="auto"/>
            </w:tcBorders>
            <w:noWrap/>
            <w:tcMar>
              <w:left w:w="58" w:type="dxa"/>
              <w:right w:w="58" w:type="dxa"/>
            </w:tcMar>
            <w:vAlign w:val="center"/>
            <w:hideMark/>
          </w:tcPr>
          <w:p w14:paraId="1C92028F"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Maintenance Stops</w:t>
            </w:r>
          </w:p>
        </w:tc>
        <w:tc>
          <w:tcPr>
            <w:tcW w:w="1498" w:type="dxa"/>
            <w:gridSpan w:val="2"/>
            <w:tcBorders>
              <w:top w:val="double" w:sz="4" w:space="0" w:color="auto"/>
              <w:right w:val="double" w:sz="4" w:space="0" w:color="auto"/>
            </w:tcBorders>
            <w:noWrap/>
            <w:tcMar>
              <w:left w:w="58" w:type="dxa"/>
              <w:right w:w="58" w:type="dxa"/>
            </w:tcMar>
            <w:vAlign w:val="center"/>
            <w:hideMark/>
          </w:tcPr>
          <w:p w14:paraId="2878DECC"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Leisure Stops</w:t>
            </w:r>
          </w:p>
        </w:tc>
      </w:tr>
      <w:tr w:rsidR="00E465D0" w:rsidRPr="00745B90" w14:paraId="457C224B" w14:textId="77777777" w:rsidTr="003003C4">
        <w:trPr>
          <w:trHeight w:val="245"/>
          <w:tblHeader/>
        </w:trPr>
        <w:tc>
          <w:tcPr>
            <w:tcW w:w="4670" w:type="dxa"/>
            <w:vMerge/>
            <w:tcBorders>
              <w:left w:val="double" w:sz="4" w:space="0" w:color="auto"/>
              <w:bottom w:val="double" w:sz="4" w:space="0" w:color="auto"/>
            </w:tcBorders>
            <w:noWrap/>
            <w:tcMar>
              <w:left w:w="58" w:type="dxa"/>
              <w:right w:w="58" w:type="dxa"/>
            </w:tcMar>
            <w:hideMark/>
          </w:tcPr>
          <w:p w14:paraId="106BEB8A" w14:textId="77777777" w:rsidR="00E465D0" w:rsidRPr="00745B90" w:rsidRDefault="00E465D0" w:rsidP="00302827">
            <w:pPr>
              <w:rPr>
                <w:rFonts w:eastAsia="Times New Roman"/>
                <w:sz w:val="20"/>
                <w:szCs w:val="20"/>
              </w:rPr>
            </w:pPr>
          </w:p>
        </w:tc>
        <w:tc>
          <w:tcPr>
            <w:tcW w:w="810" w:type="dxa"/>
            <w:tcBorders>
              <w:bottom w:val="double" w:sz="4" w:space="0" w:color="auto"/>
            </w:tcBorders>
            <w:noWrap/>
            <w:tcMar>
              <w:left w:w="58" w:type="dxa"/>
              <w:right w:w="58" w:type="dxa"/>
            </w:tcMar>
            <w:vAlign w:val="center"/>
            <w:hideMark/>
          </w:tcPr>
          <w:p w14:paraId="1737C5DB"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Coeff</w:t>
            </w:r>
          </w:p>
        </w:tc>
        <w:tc>
          <w:tcPr>
            <w:tcW w:w="810" w:type="dxa"/>
            <w:tcBorders>
              <w:bottom w:val="double" w:sz="4" w:space="0" w:color="auto"/>
            </w:tcBorders>
            <w:noWrap/>
            <w:tcMar>
              <w:left w:w="58" w:type="dxa"/>
              <w:right w:w="58" w:type="dxa"/>
            </w:tcMar>
            <w:vAlign w:val="center"/>
            <w:hideMark/>
          </w:tcPr>
          <w:p w14:paraId="51AE294A"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t-stat</w:t>
            </w:r>
          </w:p>
        </w:tc>
        <w:tc>
          <w:tcPr>
            <w:tcW w:w="810" w:type="dxa"/>
            <w:tcBorders>
              <w:bottom w:val="double" w:sz="4" w:space="0" w:color="auto"/>
            </w:tcBorders>
            <w:noWrap/>
            <w:tcMar>
              <w:left w:w="58" w:type="dxa"/>
              <w:right w:w="58" w:type="dxa"/>
            </w:tcMar>
            <w:vAlign w:val="center"/>
            <w:hideMark/>
          </w:tcPr>
          <w:p w14:paraId="2172E7B5"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Coeff</w:t>
            </w:r>
          </w:p>
        </w:tc>
        <w:tc>
          <w:tcPr>
            <w:tcW w:w="810" w:type="dxa"/>
            <w:tcBorders>
              <w:bottom w:val="double" w:sz="4" w:space="0" w:color="auto"/>
            </w:tcBorders>
            <w:noWrap/>
            <w:tcMar>
              <w:left w:w="58" w:type="dxa"/>
              <w:right w:w="58" w:type="dxa"/>
            </w:tcMar>
            <w:vAlign w:val="center"/>
            <w:hideMark/>
          </w:tcPr>
          <w:p w14:paraId="502FCCD7"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t-stat</w:t>
            </w:r>
          </w:p>
        </w:tc>
        <w:tc>
          <w:tcPr>
            <w:tcW w:w="774" w:type="dxa"/>
            <w:tcBorders>
              <w:bottom w:val="double" w:sz="4" w:space="0" w:color="auto"/>
            </w:tcBorders>
            <w:noWrap/>
            <w:tcMar>
              <w:left w:w="58" w:type="dxa"/>
              <w:right w:w="58" w:type="dxa"/>
            </w:tcMar>
            <w:vAlign w:val="center"/>
            <w:hideMark/>
          </w:tcPr>
          <w:p w14:paraId="54D235E3"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Coeff</w:t>
            </w:r>
          </w:p>
        </w:tc>
        <w:tc>
          <w:tcPr>
            <w:tcW w:w="724" w:type="dxa"/>
            <w:tcBorders>
              <w:bottom w:val="double" w:sz="4" w:space="0" w:color="auto"/>
              <w:right w:val="double" w:sz="4" w:space="0" w:color="auto"/>
            </w:tcBorders>
            <w:noWrap/>
            <w:tcMar>
              <w:left w:w="58" w:type="dxa"/>
              <w:right w:w="58" w:type="dxa"/>
            </w:tcMar>
            <w:vAlign w:val="center"/>
            <w:hideMark/>
          </w:tcPr>
          <w:p w14:paraId="1F6A20E1" w14:textId="77777777" w:rsidR="00E465D0" w:rsidRPr="00745B90" w:rsidRDefault="00E465D0" w:rsidP="00302827">
            <w:pPr>
              <w:jc w:val="center"/>
              <w:rPr>
                <w:rFonts w:eastAsia="Times New Roman"/>
                <w:b/>
                <w:bCs/>
                <w:sz w:val="20"/>
                <w:szCs w:val="20"/>
              </w:rPr>
            </w:pPr>
            <w:r w:rsidRPr="00745B90">
              <w:rPr>
                <w:rFonts w:eastAsia="Times New Roman"/>
                <w:b/>
                <w:bCs/>
                <w:sz w:val="20"/>
                <w:szCs w:val="20"/>
              </w:rPr>
              <w:t>t-stat</w:t>
            </w:r>
          </w:p>
        </w:tc>
      </w:tr>
      <w:tr w:rsidR="00E465D0" w:rsidRPr="00745B90" w14:paraId="16415C62"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hideMark/>
          </w:tcPr>
          <w:p w14:paraId="463C66D2" w14:textId="77777777" w:rsidR="00E465D0" w:rsidRPr="00745B90" w:rsidRDefault="00E465D0" w:rsidP="003003C4">
            <w:pPr>
              <w:jc w:val="left"/>
              <w:rPr>
                <w:rFonts w:eastAsia="Times New Roman"/>
                <w:b/>
                <w:bCs/>
                <w:i/>
                <w:iCs/>
                <w:sz w:val="20"/>
                <w:szCs w:val="20"/>
              </w:rPr>
            </w:pPr>
            <w:r w:rsidRPr="00745B90">
              <w:rPr>
                <w:rFonts w:eastAsia="Times New Roman"/>
                <w:b/>
                <w:bCs/>
                <w:i/>
                <w:iCs/>
                <w:sz w:val="20"/>
                <w:szCs w:val="20"/>
              </w:rPr>
              <w:t>Individual Level Characteristics</w:t>
            </w:r>
          </w:p>
        </w:tc>
      </w:tr>
      <w:tr w:rsidR="00E465D0" w:rsidRPr="00745B90" w14:paraId="66FFB540"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6481EA20" w14:textId="77777777" w:rsidR="00E465D0" w:rsidRPr="00745B90" w:rsidRDefault="00E465D0" w:rsidP="003003C4">
            <w:pPr>
              <w:jc w:val="left"/>
              <w:rPr>
                <w:rFonts w:eastAsia="Times New Roman"/>
                <w:b/>
                <w:bCs/>
                <w:sz w:val="20"/>
                <w:szCs w:val="20"/>
              </w:rPr>
            </w:pPr>
            <w:r w:rsidRPr="00745B90">
              <w:rPr>
                <w:rFonts w:eastAsia="Times New Roman"/>
                <w:b/>
                <w:bCs/>
                <w:sz w:val="20"/>
                <w:szCs w:val="20"/>
              </w:rPr>
              <w:t xml:space="preserve">Gendered Lifecyle Characteristics </w:t>
            </w:r>
          </w:p>
        </w:tc>
      </w:tr>
      <w:tr w:rsidR="00E465D0" w:rsidRPr="00745B90" w14:paraId="5D4DA336" w14:textId="77777777" w:rsidTr="003003C4">
        <w:trPr>
          <w:trHeight w:val="245"/>
        </w:trPr>
        <w:tc>
          <w:tcPr>
            <w:tcW w:w="4670" w:type="dxa"/>
            <w:tcBorders>
              <w:left w:val="double" w:sz="4" w:space="0" w:color="auto"/>
            </w:tcBorders>
            <w:noWrap/>
            <w:tcMar>
              <w:left w:w="58" w:type="dxa"/>
              <w:right w:w="58" w:type="dxa"/>
            </w:tcMar>
            <w:vAlign w:val="center"/>
            <w:hideMark/>
          </w:tcPr>
          <w:p w14:paraId="7AD93A1A" w14:textId="77777777" w:rsidR="00E465D0" w:rsidRPr="00745B90" w:rsidRDefault="00E465D0" w:rsidP="003003C4">
            <w:pPr>
              <w:jc w:val="left"/>
              <w:rPr>
                <w:rFonts w:eastAsia="Times New Roman"/>
                <w:sz w:val="20"/>
                <w:szCs w:val="20"/>
              </w:rPr>
            </w:pPr>
            <w:r w:rsidRPr="00745B90">
              <w:rPr>
                <w:rFonts w:eastAsia="Times New Roman"/>
                <w:sz w:val="20"/>
                <w:szCs w:val="20"/>
              </w:rPr>
              <w:t xml:space="preserve">Female </w:t>
            </w:r>
          </w:p>
        </w:tc>
        <w:tc>
          <w:tcPr>
            <w:tcW w:w="810" w:type="dxa"/>
            <w:noWrap/>
            <w:tcMar>
              <w:left w:w="58" w:type="dxa"/>
              <w:right w:w="58" w:type="dxa"/>
            </w:tcMar>
            <w:vAlign w:val="center"/>
          </w:tcPr>
          <w:p w14:paraId="7A970030"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tcPr>
          <w:p w14:paraId="0DEF1E50"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hideMark/>
          </w:tcPr>
          <w:p w14:paraId="296A93B1" w14:textId="77777777" w:rsidR="00E465D0" w:rsidRPr="00745B90" w:rsidRDefault="00E465D0" w:rsidP="003003C4">
            <w:pPr>
              <w:jc w:val="right"/>
              <w:rPr>
                <w:rFonts w:eastAsia="Times New Roman"/>
                <w:sz w:val="20"/>
                <w:szCs w:val="20"/>
              </w:rPr>
            </w:pPr>
            <w:r w:rsidRPr="00745B90">
              <w:rPr>
                <w:color w:val="000000"/>
                <w:sz w:val="20"/>
                <w:szCs w:val="20"/>
              </w:rPr>
              <w:t>0.043</w:t>
            </w:r>
          </w:p>
        </w:tc>
        <w:tc>
          <w:tcPr>
            <w:tcW w:w="810" w:type="dxa"/>
            <w:noWrap/>
            <w:tcMar>
              <w:left w:w="58" w:type="dxa"/>
              <w:right w:w="58" w:type="dxa"/>
            </w:tcMar>
            <w:vAlign w:val="center"/>
            <w:hideMark/>
          </w:tcPr>
          <w:p w14:paraId="78B0C2B7" w14:textId="77777777" w:rsidR="00E465D0" w:rsidRPr="00745B90" w:rsidRDefault="00E465D0" w:rsidP="003003C4">
            <w:pPr>
              <w:jc w:val="right"/>
              <w:rPr>
                <w:rFonts w:eastAsia="Times New Roman"/>
                <w:sz w:val="20"/>
                <w:szCs w:val="20"/>
              </w:rPr>
            </w:pPr>
            <w:r w:rsidRPr="00745B90">
              <w:rPr>
                <w:color w:val="000000"/>
                <w:sz w:val="20"/>
                <w:szCs w:val="20"/>
              </w:rPr>
              <w:t>3.69</w:t>
            </w:r>
          </w:p>
        </w:tc>
        <w:tc>
          <w:tcPr>
            <w:tcW w:w="774" w:type="dxa"/>
            <w:noWrap/>
            <w:tcMar>
              <w:left w:w="58" w:type="dxa"/>
              <w:right w:w="58" w:type="dxa"/>
            </w:tcMar>
            <w:vAlign w:val="center"/>
          </w:tcPr>
          <w:p w14:paraId="302AE962"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tcPr>
          <w:p w14:paraId="794814A9" w14:textId="77777777" w:rsidR="00E465D0" w:rsidRPr="00745B90" w:rsidRDefault="00E465D0" w:rsidP="003003C4">
            <w:pPr>
              <w:jc w:val="right"/>
              <w:rPr>
                <w:rFonts w:eastAsia="Times New Roman"/>
                <w:sz w:val="20"/>
                <w:szCs w:val="20"/>
              </w:rPr>
            </w:pPr>
          </w:p>
        </w:tc>
      </w:tr>
      <w:tr w:rsidR="00E465D0" w:rsidRPr="00745B90" w14:paraId="25556FE6" w14:textId="77777777" w:rsidTr="003003C4">
        <w:trPr>
          <w:trHeight w:val="245"/>
        </w:trPr>
        <w:tc>
          <w:tcPr>
            <w:tcW w:w="4670" w:type="dxa"/>
            <w:tcBorders>
              <w:left w:val="double" w:sz="4" w:space="0" w:color="auto"/>
            </w:tcBorders>
            <w:noWrap/>
            <w:tcMar>
              <w:left w:w="58" w:type="dxa"/>
              <w:right w:w="58" w:type="dxa"/>
            </w:tcMar>
            <w:vAlign w:val="center"/>
          </w:tcPr>
          <w:p w14:paraId="067B265D" w14:textId="77777777" w:rsidR="00E465D0" w:rsidRPr="00745B90" w:rsidRDefault="00E465D0" w:rsidP="003003C4">
            <w:pPr>
              <w:jc w:val="left"/>
              <w:rPr>
                <w:rFonts w:eastAsia="Times New Roman"/>
                <w:sz w:val="20"/>
                <w:szCs w:val="20"/>
              </w:rPr>
            </w:pPr>
            <w:r w:rsidRPr="00745B90">
              <w:rPr>
                <w:rFonts w:eastAsia="Times New Roman"/>
                <w:sz w:val="20"/>
                <w:szCs w:val="20"/>
              </w:rPr>
              <w:t>Single Mother</w:t>
            </w:r>
          </w:p>
        </w:tc>
        <w:tc>
          <w:tcPr>
            <w:tcW w:w="810" w:type="dxa"/>
            <w:noWrap/>
            <w:tcMar>
              <w:left w:w="58" w:type="dxa"/>
              <w:right w:w="58" w:type="dxa"/>
            </w:tcMar>
            <w:vAlign w:val="center"/>
          </w:tcPr>
          <w:p w14:paraId="3D7B65CC" w14:textId="77777777" w:rsidR="00E465D0" w:rsidRPr="00745B90" w:rsidRDefault="00E465D0" w:rsidP="003003C4">
            <w:pPr>
              <w:jc w:val="right"/>
              <w:rPr>
                <w:sz w:val="20"/>
                <w:szCs w:val="20"/>
              </w:rPr>
            </w:pPr>
            <w:r w:rsidRPr="00745B90">
              <w:rPr>
                <w:color w:val="000000"/>
                <w:sz w:val="20"/>
                <w:szCs w:val="20"/>
              </w:rPr>
              <w:t>0.348</w:t>
            </w:r>
          </w:p>
        </w:tc>
        <w:tc>
          <w:tcPr>
            <w:tcW w:w="810" w:type="dxa"/>
            <w:noWrap/>
            <w:tcMar>
              <w:left w:w="58" w:type="dxa"/>
              <w:right w:w="58" w:type="dxa"/>
            </w:tcMar>
            <w:vAlign w:val="center"/>
          </w:tcPr>
          <w:p w14:paraId="41FD1CCC" w14:textId="77777777" w:rsidR="00E465D0" w:rsidRPr="00745B90" w:rsidRDefault="00E465D0" w:rsidP="003003C4">
            <w:pPr>
              <w:jc w:val="right"/>
              <w:rPr>
                <w:rFonts w:eastAsia="Times New Roman"/>
                <w:sz w:val="20"/>
                <w:szCs w:val="20"/>
              </w:rPr>
            </w:pPr>
            <w:r w:rsidRPr="00745B90">
              <w:rPr>
                <w:color w:val="000000"/>
                <w:sz w:val="20"/>
                <w:szCs w:val="20"/>
              </w:rPr>
              <w:t>2.22</w:t>
            </w:r>
          </w:p>
        </w:tc>
        <w:tc>
          <w:tcPr>
            <w:tcW w:w="810" w:type="dxa"/>
            <w:noWrap/>
            <w:tcMar>
              <w:left w:w="58" w:type="dxa"/>
              <w:right w:w="58" w:type="dxa"/>
            </w:tcMar>
            <w:vAlign w:val="center"/>
          </w:tcPr>
          <w:p w14:paraId="2646A836" w14:textId="77777777" w:rsidR="00E465D0" w:rsidRPr="00745B90" w:rsidRDefault="00E465D0" w:rsidP="003003C4">
            <w:pPr>
              <w:jc w:val="right"/>
              <w:rPr>
                <w:sz w:val="20"/>
                <w:szCs w:val="20"/>
              </w:rPr>
            </w:pPr>
            <w:r w:rsidRPr="00745B90">
              <w:rPr>
                <w:color w:val="000000"/>
                <w:sz w:val="20"/>
                <w:szCs w:val="20"/>
              </w:rPr>
              <w:t>0.098</w:t>
            </w:r>
          </w:p>
        </w:tc>
        <w:tc>
          <w:tcPr>
            <w:tcW w:w="810" w:type="dxa"/>
            <w:noWrap/>
            <w:tcMar>
              <w:left w:w="58" w:type="dxa"/>
              <w:right w:w="58" w:type="dxa"/>
            </w:tcMar>
            <w:vAlign w:val="center"/>
          </w:tcPr>
          <w:p w14:paraId="7FAFDAE2" w14:textId="77777777" w:rsidR="00E465D0" w:rsidRPr="00745B90" w:rsidRDefault="00E465D0" w:rsidP="003003C4">
            <w:pPr>
              <w:jc w:val="right"/>
              <w:rPr>
                <w:sz w:val="20"/>
                <w:szCs w:val="20"/>
              </w:rPr>
            </w:pPr>
            <w:r w:rsidRPr="00745B90">
              <w:rPr>
                <w:color w:val="000000"/>
                <w:sz w:val="20"/>
                <w:szCs w:val="20"/>
              </w:rPr>
              <w:t>3.14</w:t>
            </w:r>
          </w:p>
        </w:tc>
        <w:tc>
          <w:tcPr>
            <w:tcW w:w="774" w:type="dxa"/>
            <w:noWrap/>
            <w:tcMar>
              <w:left w:w="58" w:type="dxa"/>
              <w:right w:w="58" w:type="dxa"/>
            </w:tcMar>
            <w:vAlign w:val="center"/>
          </w:tcPr>
          <w:p w14:paraId="186D03F2" w14:textId="77777777" w:rsidR="00E465D0" w:rsidRPr="00745B90" w:rsidRDefault="00E465D0" w:rsidP="003003C4">
            <w:pPr>
              <w:jc w:val="right"/>
              <w:rPr>
                <w:sz w:val="20"/>
                <w:szCs w:val="20"/>
              </w:rPr>
            </w:pPr>
            <w:r w:rsidRPr="00745B90">
              <w:rPr>
                <w:sz w:val="20"/>
                <w:szCs w:val="20"/>
              </w:rPr>
              <w:t>--</w:t>
            </w:r>
          </w:p>
        </w:tc>
        <w:tc>
          <w:tcPr>
            <w:tcW w:w="724" w:type="dxa"/>
            <w:tcBorders>
              <w:right w:val="double" w:sz="4" w:space="0" w:color="auto"/>
            </w:tcBorders>
            <w:noWrap/>
            <w:tcMar>
              <w:left w:w="58" w:type="dxa"/>
              <w:right w:w="58" w:type="dxa"/>
            </w:tcMar>
            <w:vAlign w:val="center"/>
          </w:tcPr>
          <w:p w14:paraId="293D0780" w14:textId="77777777" w:rsidR="00E465D0" w:rsidRPr="00745B90" w:rsidRDefault="00E465D0" w:rsidP="003003C4">
            <w:pPr>
              <w:jc w:val="right"/>
              <w:rPr>
                <w:sz w:val="20"/>
                <w:szCs w:val="20"/>
              </w:rPr>
            </w:pPr>
          </w:p>
        </w:tc>
      </w:tr>
      <w:tr w:rsidR="00E465D0" w:rsidRPr="00745B90" w14:paraId="5BC83FC4" w14:textId="77777777" w:rsidTr="003003C4">
        <w:trPr>
          <w:trHeight w:val="245"/>
        </w:trPr>
        <w:tc>
          <w:tcPr>
            <w:tcW w:w="4670" w:type="dxa"/>
            <w:tcBorders>
              <w:left w:val="double" w:sz="4" w:space="0" w:color="auto"/>
            </w:tcBorders>
            <w:noWrap/>
            <w:tcMar>
              <w:left w:w="58" w:type="dxa"/>
              <w:right w:w="58" w:type="dxa"/>
            </w:tcMar>
            <w:vAlign w:val="center"/>
          </w:tcPr>
          <w:p w14:paraId="59B29F72" w14:textId="77777777" w:rsidR="00E465D0" w:rsidRPr="00745B90" w:rsidRDefault="00E465D0" w:rsidP="003003C4">
            <w:pPr>
              <w:jc w:val="left"/>
              <w:rPr>
                <w:rFonts w:eastAsia="Times New Roman"/>
                <w:sz w:val="20"/>
                <w:szCs w:val="20"/>
              </w:rPr>
            </w:pPr>
            <w:r w:rsidRPr="00745B90">
              <w:rPr>
                <w:rFonts w:eastAsia="Times New Roman"/>
                <w:sz w:val="20"/>
                <w:szCs w:val="20"/>
              </w:rPr>
              <w:t>Non-single Mother</w:t>
            </w:r>
          </w:p>
        </w:tc>
        <w:tc>
          <w:tcPr>
            <w:tcW w:w="810" w:type="dxa"/>
            <w:noWrap/>
            <w:tcMar>
              <w:left w:w="58" w:type="dxa"/>
              <w:right w:w="58" w:type="dxa"/>
            </w:tcMar>
            <w:vAlign w:val="center"/>
          </w:tcPr>
          <w:p w14:paraId="349BD0E6" w14:textId="77777777" w:rsidR="00E465D0" w:rsidRPr="00745B90" w:rsidRDefault="00E465D0" w:rsidP="003003C4">
            <w:pPr>
              <w:jc w:val="right"/>
              <w:rPr>
                <w:rFonts w:eastAsia="Times New Roman"/>
                <w:sz w:val="20"/>
                <w:szCs w:val="20"/>
              </w:rPr>
            </w:pPr>
            <w:r w:rsidRPr="00745B90">
              <w:rPr>
                <w:color w:val="000000"/>
                <w:sz w:val="20"/>
                <w:szCs w:val="20"/>
              </w:rPr>
              <w:t>-0.184</w:t>
            </w:r>
          </w:p>
        </w:tc>
        <w:tc>
          <w:tcPr>
            <w:tcW w:w="810" w:type="dxa"/>
            <w:noWrap/>
            <w:tcMar>
              <w:left w:w="58" w:type="dxa"/>
              <w:right w:w="58" w:type="dxa"/>
            </w:tcMar>
            <w:vAlign w:val="center"/>
          </w:tcPr>
          <w:p w14:paraId="58A9E464" w14:textId="77777777" w:rsidR="00E465D0" w:rsidRPr="00745B90" w:rsidRDefault="00E465D0" w:rsidP="003003C4">
            <w:pPr>
              <w:jc w:val="right"/>
              <w:rPr>
                <w:rFonts w:eastAsia="Times New Roman"/>
                <w:sz w:val="20"/>
                <w:szCs w:val="20"/>
              </w:rPr>
            </w:pPr>
            <w:r w:rsidRPr="00745B90">
              <w:rPr>
                <w:color w:val="000000"/>
                <w:sz w:val="20"/>
                <w:szCs w:val="20"/>
              </w:rPr>
              <w:t>-1.95</w:t>
            </w:r>
          </w:p>
        </w:tc>
        <w:tc>
          <w:tcPr>
            <w:tcW w:w="810" w:type="dxa"/>
            <w:noWrap/>
            <w:tcMar>
              <w:left w:w="58" w:type="dxa"/>
              <w:right w:w="58" w:type="dxa"/>
            </w:tcMar>
            <w:vAlign w:val="center"/>
          </w:tcPr>
          <w:p w14:paraId="08ABAC32" w14:textId="77777777" w:rsidR="00E465D0" w:rsidRPr="00745B90" w:rsidRDefault="00E465D0" w:rsidP="003003C4">
            <w:pPr>
              <w:jc w:val="right"/>
              <w:rPr>
                <w:sz w:val="20"/>
                <w:szCs w:val="20"/>
              </w:rPr>
            </w:pPr>
            <w:r w:rsidRPr="00745B90">
              <w:rPr>
                <w:sz w:val="20"/>
                <w:szCs w:val="20"/>
              </w:rPr>
              <w:t>--</w:t>
            </w:r>
          </w:p>
        </w:tc>
        <w:tc>
          <w:tcPr>
            <w:tcW w:w="810" w:type="dxa"/>
            <w:noWrap/>
            <w:tcMar>
              <w:left w:w="58" w:type="dxa"/>
              <w:right w:w="58" w:type="dxa"/>
            </w:tcMar>
            <w:vAlign w:val="center"/>
          </w:tcPr>
          <w:p w14:paraId="3CF9A1CD" w14:textId="77777777" w:rsidR="00E465D0" w:rsidRPr="00745B90" w:rsidRDefault="00E465D0" w:rsidP="003003C4">
            <w:pPr>
              <w:jc w:val="right"/>
              <w:rPr>
                <w:sz w:val="20"/>
                <w:szCs w:val="20"/>
              </w:rPr>
            </w:pPr>
          </w:p>
        </w:tc>
        <w:tc>
          <w:tcPr>
            <w:tcW w:w="774" w:type="dxa"/>
            <w:noWrap/>
            <w:tcMar>
              <w:left w:w="58" w:type="dxa"/>
              <w:right w:w="58" w:type="dxa"/>
            </w:tcMar>
            <w:vAlign w:val="center"/>
          </w:tcPr>
          <w:p w14:paraId="4FC112AF" w14:textId="77777777" w:rsidR="00E465D0" w:rsidRPr="00745B90" w:rsidRDefault="00E465D0" w:rsidP="003003C4">
            <w:pPr>
              <w:jc w:val="right"/>
              <w:rPr>
                <w:sz w:val="20"/>
                <w:szCs w:val="20"/>
              </w:rPr>
            </w:pPr>
            <w:r w:rsidRPr="00745B90">
              <w:rPr>
                <w:sz w:val="20"/>
                <w:szCs w:val="20"/>
              </w:rPr>
              <w:t>--</w:t>
            </w:r>
          </w:p>
        </w:tc>
        <w:tc>
          <w:tcPr>
            <w:tcW w:w="724" w:type="dxa"/>
            <w:tcBorders>
              <w:right w:val="double" w:sz="4" w:space="0" w:color="auto"/>
            </w:tcBorders>
            <w:noWrap/>
            <w:tcMar>
              <w:left w:w="58" w:type="dxa"/>
              <w:right w:w="58" w:type="dxa"/>
            </w:tcMar>
            <w:vAlign w:val="center"/>
          </w:tcPr>
          <w:p w14:paraId="3CF69BEA" w14:textId="77777777" w:rsidR="00E465D0" w:rsidRPr="00745B90" w:rsidRDefault="00E465D0" w:rsidP="003003C4">
            <w:pPr>
              <w:jc w:val="right"/>
              <w:rPr>
                <w:sz w:val="20"/>
                <w:szCs w:val="20"/>
              </w:rPr>
            </w:pPr>
          </w:p>
        </w:tc>
      </w:tr>
      <w:tr w:rsidR="00E465D0" w:rsidRPr="00745B90" w14:paraId="2660DA9E"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2C43214A" w14:textId="77777777" w:rsidR="00E465D0" w:rsidRPr="00745B90" w:rsidRDefault="00E465D0" w:rsidP="003003C4">
            <w:pPr>
              <w:jc w:val="left"/>
              <w:rPr>
                <w:rFonts w:eastAsia="Times New Roman"/>
                <w:sz w:val="20"/>
                <w:szCs w:val="20"/>
              </w:rPr>
            </w:pPr>
            <w:r w:rsidRPr="00745B90">
              <w:rPr>
                <w:rFonts w:eastAsia="Times New Roman"/>
                <w:b/>
                <w:bCs/>
                <w:sz w:val="20"/>
                <w:szCs w:val="20"/>
              </w:rPr>
              <w:t>Age (younger than 35)</w:t>
            </w:r>
          </w:p>
        </w:tc>
      </w:tr>
      <w:tr w:rsidR="00E465D0" w:rsidRPr="00745B90" w14:paraId="3228FD24" w14:textId="77777777" w:rsidTr="003003C4">
        <w:trPr>
          <w:trHeight w:val="245"/>
        </w:trPr>
        <w:tc>
          <w:tcPr>
            <w:tcW w:w="4670" w:type="dxa"/>
            <w:tcBorders>
              <w:left w:val="double" w:sz="4" w:space="0" w:color="auto"/>
            </w:tcBorders>
            <w:noWrap/>
            <w:tcMar>
              <w:left w:w="58" w:type="dxa"/>
              <w:right w:w="58" w:type="dxa"/>
            </w:tcMar>
            <w:vAlign w:val="center"/>
            <w:hideMark/>
          </w:tcPr>
          <w:p w14:paraId="6CAFA4DB" w14:textId="77777777" w:rsidR="00E465D0" w:rsidRPr="00745B90" w:rsidRDefault="00E465D0" w:rsidP="003003C4">
            <w:pPr>
              <w:jc w:val="left"/>
              <w:rPr>
                <w:rFonts w:eastAsia="Times New Roman"/>
                <w:sz w:val="20"/>
                <w:szCs w:val="20"/>
              </w:rPr>
            </w:pPr>
            <w:r w:rsidRPr="00745B90">
              <w:rPr>
                <w:rFonts w:eastAsia="Times New Roman"/>
                <w:sz w:val="20"/>
                <w:szCs w:val="20"/>
              </w:rPr>
              <w:t>35 to 54</w:t>
            </w:r>
          </w:p>
        </w:tc>
        <w:tc>
          <w:tcPr>
            <w:tcW w:w="810" w:type="dxa"/>
            <w:noWrap/>
            <w:tcMar>
              <w:left w:w="58" w:type="dxa"/>
              <w:right w:w="58" w:type="dxa"/>
            </w:tcMar>
            <w:vAlign w:val="center"/>
          </w:tcPr>
          <w:p w14:paraId="29544E03"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tcPr>
          <w:p w14:paraId="224184A9"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hideMark/>
          </w:tcPr>
          <w:p w14:paraId="468B0A61" w14:textId="77777777" w:rsidR="00E465D0" w:rsidRPr="00745B90" w:rsidRDefault="00E465D0" w:rsidP="003003C4">
            <w:pPr>
              <w:jc w:val="right"/>
              <w:rPr>
                <w:rFonts w:eastAsia="Times New Roman"/>
                <w:sz w:val="20"/>
                <w:szCs w:val="20"/>
              </w:rPr>
            </w:pPr>
            <w:r w:rsidRPr="00745B90">
              <w:rPr>
                <w:color w:val="000000"/>
                <w:sz w:val="20"/>
                <w:szCs w:val="20"/>
              </w:rPr>
              <w:t>0.039</w:t>
            </w:r>
          </w:p>
        </w:tc>
        <w:tc>
          <w:tcPr>
            <w:tcW w:w="810" w:type="dxa"/>
            <w:noWrap/>
            <w:tcMar>
              <w:left w:w="58" w:type="dxa"/>
              <w:right w:w="58" w:type="dxa"/>
            </w:tcMar>
            <w:vAlign w:val="center"/>
            <w:hideMark/>
          </w:tcPr>
          <w:p w14:paraId="5F1A13E9" w14:textId="77777777" w:rsidR="00E465D0" w:rsidRPr="00745B90" w:rsidRDefault="00E465D0" w:rsidP="003003C4">
            <w:pPr>
              <w:jc w:val="right"/>
              <w:rPr>
                <w:rFonts w:eastAsia="Times New Roman"/>
                <w:sz w:val="20"/>
                <w:szCs w:val="20"/>
              </w:rPr>
            </w:pPr>
            <w:r w:rsidRPr="00745B90">
              <w:rPr>
                <w:color w:val="000000"/>
                <w:sz w:val="20"/>
                <w:szCs w:val="20"/>
              </w:rPr>
              <w:t>3.17</w:t>
            </w:r>
          </w:p>
        </w:tc>
        <w:tc>
          <w:tcPr>
            <w:tcW w:w="774" w:type="dxa"/>
            <w:noWrap/>
            <w:tcMar>
              <w:left w:w="58" w:type="dxa"/>
              <w:right w:w="58" w:type="dxa"/>
            </w:tcMar>
            <w:vAlign w:val="center"/>
            <w:hideMark/>
          </w:tcPr>
          <w:p w14:paraId="067AC856" w14:textId="77777777" w:rsidR="00E465D0" w:rsidRPr="00745B90" w:rsidRDefault="00E465D0" w:rsidP="003003C4">
            <w:pPr>
              <w:jc w:val="right"/>
              <w:rPr>
                <w:rFonts w:eastAsia="Times New Roman"/>
                <w:sz w:val="20"/>
                <w:szCs w:val="20"/>
              </w:rPr>
            </w:pPr>
            <w:r w:rsidRPr="00745B90">
              <w:rPr>
                <w:color w:val="000000"/>
                <w:sz w:val="20"/>
                <w:szCs w:val="20"/>
              </w:rPr>
              <w:t>-0.014</w:t>
            </w:r>
          </w:p>
        </w:tc>
        <w:tc>
          <w:tcPr>
            <w:tcW w:w="724" w:type="dxa"/>
            <w:tcBorders>
              <w:right w:val="double" w:sz="4" w:space="0" w:color="auto"/>
            </w:tcBorders>
            <w:noWrap/>
            <w:tcMar>
              <w:left w:w="58" w:type="dxa"/>
              <w:right w:w="58" w:type="dxa"/>
            </w:tcMar>
            <w:vAlign w:val="center"/>
            <w:hideMark/>
          </w:tcPr>
          <w:p w14:paraId="2F6433EE" w14:textId="77777777" w:rsidR="00E465D0" w:rsidRPr="00745B90" w:rsidRDefault="00E465D0" w:rsidP="003003C4">
            <w:pPr>
              <w:jc w:val="right"/>
              <w:rPr>
                <w:rFonts w:eastAsia="Times New Roman"/>
                <w:sz w:val="20"/>
                <w:szCs w:val="20"/>
              </w:rPr>
            </w:pPr>
            <w:r w:rsidRPr="00745B90">
              <w:rPr>
                <w:color w:val="000000"/>
                <w:sz w:val="20"/>
                <w:szCs w:val="20"/>
              </w:rPr>
              <w:t>-0.59</w:t>
            </w:r>
          </w:p>
        </w:tc>
      </w:tr>
      <w:tr w:rsidR="00E465D0" w:rsidRPr="00745B90" w14:paraId="4DD999F3" w14:textId="77777777" w:rsidTr="003003C4">
        <w:trPr>
          <w:trHeight w:val="245"/>
        </w:trPr>
        <w:tc>
          <w:tcPr>
            <w:tcW w:w="4670" w:type="dxa"/>
            <w:tcBorders>
              <w:left w:val="double" w:sz="4" w:space="0" w:color="auto"/>
            </w:tcBorders>
            <w:noWrap/>
            <w:tcMar>
              <w:left w:w="58" w:type="dxa"/>
              <w:right w:w="58" w:type="dxa"/>
            </w:tcMar>
            <w:vAlign w:val="center"/>
          </w:tcPr>
          <w:p w14:paraId="69841316" w14:textId="77777777" w:rsidR="00E465D0" w:rsidRPr="00745B90" w:rsidRDefault="00E465D0" w:rsidP="003003C4">
            <w:pPr>
              <w:jc w:val="left"/>
              <w:rPr>
                <w:rFonts w:eastAsia="Times New Roman"/>
                <w:sz w:val="20"/>
                <w:szCs w:val="20"/>
              </w:rPr>
            </w:pPr>
            <w:r w:rsidRPr="00745B90">
              <w:rPr>
                <w:rFonts w:eastAsia="Times New Roman"/>
                <w:sz w:val="20"/>
                <w:szCs w:val="20"/>
              </w:rPr>
              <w:t>55 or older</w:t>
            </w:r>
          </w:p>
        </w:tc>
        <w:tc>
          <w:tcPr>
            <w:tcW w:w="810" w:type="dxa"/>
            <w:noWrap/>
            <w:tcMar>
              <w:left w:w="58" w:type="dxa"/>
              <w:right w:w="58" w:type="dxa"/>
            </w:tcMar>
            <w:vAlign w:val="center"/>
          </w:tcPr>
          <w:p w14:paraId="0ADD1800" w14:textId="77777777" w:rsidR="00E465D0" w:rsidRPr="00745B90" w:rsidRDefault="00E465D0" w:rsidP="003003C4">
            <w:pPr>
              <w:jc w:val="right"/>
              <w:rPr>
                <w:sz w:val="20"/>
                <w:szCs w:val="20"/>
              </w:rPr>
            </w:pPr>
            <w:r w:rsidRPr="00745B90">
              <w:rPr>
                <w:color w:val="000000"/>
                <w:sz w:val="20"/>
                <w:szCs w:val="20"/>
              </w:rPr>
              <w:t>-0.223</w:t>
            </w:r>
          </w:p>
        </w:tc>
        <w:tc>
          <w:tcPr>
            <w:tcW w:w="810" w:type="dxa"/>
            <w:noWrap/>
            <w:tcMar>
              <w:left w:w="58" w:type="dxa"/>
              <w:right w:w="58" w:type="dxa"/>
            </w:tcMar>
            <w:vAlign w:val="center"/>
          </w:tcPr>
          <w:p w14:paraId="5EEE65C8" w14:textId="77777777" w:rsidR="00E465D0" w:rsidRPr="00745B90" w:rsidRDefault="00E465D0" w:rsidP="003003C4">
            <w:pPr>
              <w:jc w:val="right"/>
              <w:rPr>
                <w:sz w:val="20"/>
                <w:szCs w:val="20"/>
              </w:rPr>
            </w:pPr>
            <w:r w:rsidRPr="00745B90">
              <w:rPr>
                <w:color w:val="000000"/>
                <w:sz w:val="20"/>
                <w:szCs w:val="20"/>
              </w:rPr>
              <w:t>-3.27</w:t>
            </w:r>
          </w:p>
        </w:tc>
        <w:tc>
          <w:tcPr>
            <w:tcW w:w="810" w:type="dxa"/>
            <w:noWrap/>
            <w:tcMar>
              <w:left w:w="58" w:type="dxa"/>
              <w:right w:w="58" w:type="dxa"/>
            </w:tcMar>
            <w:vAlign w:val="center"/>
          </w:tcPr>
          <w:p w14:paraId="7AC382D1" w14:textId="77777777" w:rsidR="00E465D0" w:rsidRPr="00745B90" w:rsidRDefault="00E465D0" w:rsidP="003003C4">
            <w:pPr>
              <w:jc w:val="right"/>
              <w:rPr>
                <w:sz w:val="20"/>
                <w:szCs w:val="20"/>
              </w:rPr>
            </w:pPr>
            <w:r w:rsidRPr="00745B90">
              <w:rPr>
                <w:sz w:val="20"/>
                <w:szCs w:val="20"/>
              </w:rPr>
              <w:t>--</w:t>
            </w:r>
          </w:p>
        </w:tc>
        <w:tc>
          <w:tcPr>
            <w:tcW w:w="810" w:type="dxa"/>
            <w:noWrap/>
            <w:tcMar>
              <w:left w:w="58" w:type="dxa"/>
              <w:right w:w="58" w:type="dxa"/>
            </w:tcMar>
            <w:vAlign w:val="center"/>
          </w:tcPr>
          <w:p w14:paraId="397E91F9" w14:textId="77777777" w:rsidR="00E465D0" w:rsidRPr="00745B90" w:rsidRDefault="00E465D0" w:rsidP="003003C4">
            <w:pPr>
              <w:jc w:val="right"/>
              <w:rPr>
                <w:sz w:val="20"/>
                <w:szCs w:val="20"/>
              </w:rPr>
            </w:pPr>
          </w:p>
        </w:tc>
        <w:tc>
          <w:tcPr>
            <w:tcW w:w="774" w:type="dxa"/>
            <w:noWrap/>
            <w:tcMar>
              <w:left w:w="58" w:type="dxa"/>
              <w:right w:w="58" w:type="dxa"/>
            </w:tcMar>
            <w:vAlign w:val="center"/>
          </w:tcPr>
          <w:p w14:paraId="47B2D5A6" w14:textId="77777777" w:rsidR="00E465D0" w:rsidRPr="00745B90" w:rsidRDefault="00E465D0" w:rsidP="003003C4">
            <w:pPr>
              <w:jc w:val="right"/>
              <w:rPr>
                <w:sz w:val="20"/>
                <w:szCs w:val="20"/>
              </w:rPr>
            </w:pPr>
            <w:r w:rsidRPr="00745B90">
              <w:rPr>
                <w:color w:val="000000"/>
                <w:sz w:val="20"/>
                <w:szCs w:val="20"/>
              </w:rPr>
              <w:t>-0.148</w:t>
            </w:r>
          </w:p>
        </w:tc>
        <w:tc>
          <w:tcPr>
            <w:tcW w:w="724" w:type="dxa"/>
            <w:tcBorders>
              <w:right w:val="double" w:sz="4" w:space="0" w:color="auto"/>
            </w:tcBorders>
            <w:noWrap/>
            <w:tcMar>
              <w:left w:w="58" w:type="dxa"/>
              <w:right w:w="58" w:type="dxa"/>
            </w:tcMar>
            <w:vAlign w:val="center"/>
          </w:tcPr>
          <w:p w14:paraId="32BB1321" w14:textId="77777777" w:rsidR="00E465D0" w:rsidRPr="00745B90" w:rsidRDefault="00E465D0" w:rsidP="003003C4">
            <w:pPr>
              <w:jc w:val="right"/>
              <w:rPr>
                <w:sz w:val="20"/>
                <w:szCs w:val="20"/>
              </w:rPr>
            </w:pPr>
            <w:r w:rsidRPr="00745B90">
              <w:rPr>
                <w:color w:val="000000"/>
                <w:sz w:val="20"/>
                <w:szCs w:val="20"/>
              </w:rPr>
              <w:t>-5.07</w:t>
            </w:r>
          </w:p>
        </w:tc>
      </w:tr>
      <w:tr w:rsidR="00E465D0" w:rsidRPr="00745B90" w14:paraId="3BA325A1"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2FF3EBA0" w14:textId="77777777" w:rsidR="00E465D0" w:rsidRPr="00745B90" w:rsidRDefault="00E465D0" w:rsidP="003003C4">
            <w:pPr>
              <w:jc w:val="left"/>
              <w:rPr>
                <w:rFonts w:eastAsia="Times New Roman"/>
                <w:sz w:val="20"/>
                <w:szCs w:val="20"/>
              </w:rPr>
            </w:pPr>
            <w:r w:rsidRPr="00745B90">
              <w:rPr>
                <w:rFonts w:eastAsia="Times New Roman"/>
                <w:b/>
                <w:bCs/>
                <w:sz w:val="20"/>
                <w:szCs w:val="20"/>
              </w:rPr>
              <w:t>Race (not black)</w:t>
            </w:r>
          </w:p>
        </w:tc>
      </w:tr>
      <w:tr w:rsidR="00E465D0" w:rsidRPr="00745B90" w14:paraId="1B5BB4A9" w14:textId="77777777" w:rsidTr="003003C4">
        <w:trPr>
          <w:trHeight w:val="245"/>
        </w:trPr>
        <w:tc>
          <w:tcPr>
            <w:tcW w:w="4670" w:type="dxa"/>
            <w:tcBorders>
              <w:left w:val="double" w:sz="4" w:space="0" w:color="auto"/>
            </w:tcBorders>
            <w:noWrap/>
            <w:tcMar>
              <w:left w:w="58" w:type="dxa"/>
              <w:right w:w="58" w:type="dxa"/>
            </w:tcMar>
            <w:vAlign w:val="center"/>
            <w:hideMark/>
          </w:tcPr>
          <w:p w14:paraId="7CE7566B" w14:textId="77777777" w:rsidR="00E465D0" w:rsidRPr="00745B90" w:rsidRDefault="00E465D0" w:rsidP="003003C4">
            <w:pPr>
              <w:jc w:val="left"/>
              <w:rPr>
                <w:rFonts w:eastAsia="Times New Roman"/>
                <w:sz w:val="20"/>
                <w:szCs w:val="20"/>
              </w:rPr>
            </w:pPr>
            <w:r w:rsidRPr="00745B90">
              <w:rPr>
                <w:rFonts w:eastAsia="Times New Roman"/>
                <w:sz w:val="20"/>
                <w:szCs w:val="20"/>
              </w:rPr>
              <w:t>Black</w:t>
            </w:r>
          </w:p>
        </w:tc>
        <w:tc>
          <w:tcPr>
            <w:tcW w:w="810" w:type="dxa"/>
            <w:noWrap/>
            <w:tcMar>
              <w:left w:w="58" w:type="dxa"/>
              <w:right w:w="58" w:type="dxa"/>
            </w:tcMar>
            <w:vAlign w:val="center"/>
            <w:hideMark/>
          </w:tcPr>
          <w:p w14:paraId="51EB4B45"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hideMark/>
          </w:tcPr>
          <w:p w14:paraId="4AB36E68"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609F6B8A"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tcPr>
          <w:p w14:paraId="5EED6C37" w14:textId="77777777" w:rsidR="00E465D0" w:rsidRPr="00745B90" w:rsidRDefault="00E465D0" w:rsidP="003003C4">
            <w:pPr>
              <w:jc w:val="right"/>
              <w:rPr>
                <w:rFonts w:eastAsia="Times New Roman"/>
                <w:sz w:val="20"/>
                <w:szCs w:val="20"/>
              </w:rPr>
            </w:pPr>
          </w:p>
        </w:tc>
        <w:tc>
          <w:tcPr>
            <w:tcW w:w="774" w:type="dxa"/>
            <w:tcBorders>
              <w:right w:val="single" w:sz="4" w:space="0" w:color="auto"/>
            </w:tcBorders>
            <w:noWrap/>
            <w:tcMar>
              <w:left w:w="58" w:type="dxa"/>
              <w:right w:w="58" w:type="dxa"/>
            </w:tcMar>
            <w:vAlign w:val="center"/>
            <w:hideMark/>
          </w:tcPr>
          <w:p w14:paraId="555D6713" w14:textId="77777777" w:rsidR="00E465D0" w:rsidRPr="00745B90" w:rsidRDefault="00E465D0" w:rsidP="003003C4">
            <w:pPr>
              <w:jc w:val="right"/>
              <w:rPr>
                <w:rFonts w:eastAsia="Times New Roman"/>
                <w:sz w:val="20"/>
                <w:szCs w:val="20"/>
              </w:rPr>
            </w:pPr>
            <w:r w:rsidRPr="00745B90">
              <w:rPr>
                <w:color w:val="000000"/>
                <w:sz w:val="20"/>
                <w:szCs w:val="20"/>
              </w:rPr>
              <w:t>-0.105</w:t>
            </w:r>
          </w:p>
        </w:tc>
        <w:tc>
          <w:tcPr>
            <w:tcW w:w="724" w:type="dxa"/>
            <w:tcBorders>
              <w:left w:val="single" w:sz="4" w:space="0" w:color="auto"/>
              <w:right w:val="double" w:sz="4" w:space="0" w:color="auto"/>
            </w:tcBorders>
            <w:tcMar>
              <w:left w:w="58" w:type="dxa"/>
              <w:right w:w="58" w:type="dxa"/>
            </w:tcMar>
            <w:vAlign w:val="center"/>
          </w:tcPr>
          <w:p w14:paraId="7B482FB9" w14:textId="77777777" w:rsidR="00E465D0" w:rsidRPr="00745B90" w:rsidRDefault="00E465D0" w:rsidP="003003C4">
            <w:pPr>
              <w:jc w:val="right"/>
              <w:rPr>
                <w:rFonts w:eastAsia="Times New Roman"/>
                <w:sz w:val="20"/>
                <w:szCs w:val="20"/>
              </w:rPr>
            </w:pPr>
            <w:r w:rsidRPr="00745B90">
              <w:rPr>
                <w:color w:val="000000"/>
                <w:sz w:val="20"/>
                <w:szCs w:val="20"/>
              </w:rPr>
              <w:t>-2.19</w:t>
            </w:r>
          </w:p>
        </w:tc>
      </w:tr>
      <w:tr w:rsidR="00E465D0" w:rsidRPr="00745B90" w14:paraId="18FD30B8"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282E72F7" w14:textId="5521ADEC" w:rsidR="00E465D0" w:rsidRPr="00745B90" w:rsidRDefault="00E465D0" w:rsidP="003003C4">
            <w:pPr>
              <w:jc w:val="left"/>
              <w:rPr>
                <w:rFonts w:eastAsia="Times New Roman"/>
                <w:sz w:val="20"/>
                <w:szCs w:val="20"/>
              </w:rPr>
            </w:pPr>
            <w:r w:rsidRPr="00745B90">
              <w:rPr>
                <w:rFonts w:eastAsia="Times New Roman"/>
                <w:b/>
                <w:bCs/>
                <w:sz w:val="20"/>
                <w:szCs w:val="20"/>
              </w:rPr>
              <w:t xml:space="preserve">Formal </w:t>
            </w:r>
            <w:r w:rsidR="00745B90" w:rsidRPr="00745B90">
              <w:rPr>
                <w:rFonts w:eastAsia="Times New Roman"/>
                <w:b/>
                <w:bCs/>
                <w:sz w:val="20"/>
                <w:szCs w:val="20"/>
              </w:rPr>
              <w:t>E</w:t>
            </w:r>
            <w:r w:rsidRPr="00745B90">
              <w:rPr>
                <w:rFonts w:eastAsia="Times New Roman"/>
                <w:b/>
                <w:bCs/>
                <w:sz w:val="20"/>
                <w:szCs w:val="20"/>
              </w:rPr>
              <w:t>ducation (less than graduate degree)</w:t>
            </w:r>
          </w:p>
        </w:tc>
      </w:tr>
      <w:tr w:rsidR="00E465D0" w:rsidRPr="00745B90" w14:paraId="511578AB" w14:textId="77777777" w:rsidTr="003003C4">
        <w:trPr>
          <w:trHeight w:val="245"/>
        </w:trPr>
        <w:tc>
          <w:tcPr>
            <w:tcW w:w="4670" w:type="dxa"/>
            <w:tcBorders>
              <w:left w:val="double" w:sz="4" w:space="0" w:color="auto"/>
            </w:tcBorders>
            <w:noWrap/>
            <w:tcMar>
              <w:left w:w="58" w:type="dxa"/>
              <w:right w:w="58" w:type="dxa"/>
            </w:tcMar>
            <w:vAlign w:val="center"/>
            <w:hideMark/>
          </w:tcPr>
          <w:p w14:paraId="4442C528" w14:textId="77777777" w:rsidR="00E465D0" w:rsidRPr="00745B90" w:rsidRDefault="00E465D0" w:rsidP="003003C4">
            <w:pPr>
              <w:jc w:val="left"/>
              <w:rPr>
                <w:rFonts w:eastAsia="Times New Roman"/>
                <w:sz w:val="20"/>
                <w:szCs w:val="20"/>
              </w:rPr>
            </w:pPr>
            <w:r w:rsidRPr="00745B90">
              <w:rPr>
                <w:rFonts w:eastAsia="Times New Roman"/>
                <w:sz w:val="20"/>
                <w:szCs w:val="20"/>
              </w:rPr>
              <w:t>Graduate degree</w:t>
            </w:r>
          </w:p>
        </w:tc>
        <w:tc>
          <w:tcPr>
            <w:tcW w:w="810" w:type="dxa"/>
            <w:noWrap/>
            <w:tcMar>
              <w:left w:w="58" w:type="dxa"/>
              <w:right w:w="58" w:type="dxa"/>
            </w:tcMar>
            <w:vAlign w:val="center"/>
            <w:hideMark/>
          </w:tcPr>
          <w:p w14:paraId="50925FDB" w14:textId="77777777" w:rsidR="00E465D0" w:rsidRPr="00745B90" w:rsidRDefault="00E465D0" w:rsidP="003003C4">
            <w:pPr>
              <w:jc w:val="right"/>
              <w:rPr>
                <w:rFonts w:eastAsia="Times New Roman"/>
                <w:sz w:val="20"/>
                <w:szCs w:val="20"/>
              </w:rPr>
            </w:pPr>
            <w:r w:rsidRPr="00745B90">
              <w:rPr>
                <w:color w:val="000000"/>
                <w:sz w:val="20"/>
                <w:szCs w:val="20"/>
              </w:rPr>
              <w:t>0.148</w:t>
            </w:r>
          </w:p>
        </w:tc>
        <w:tc>
          <w:tcPr>
            <w:tcW w:w="810" w:type="dxa"/>
            <w:noWrap/>
            <w:tcMar>
              <w:left w:w="58" w:type="dxa"/>
              <w:right w:w="58" w:type="dxa"/>
            </w:tcMar>
            <w:vAlign w:val="center"/>
            <w:hideMark/>
          </w:tcPr>
          <w:p w14:paraId="1A74239C" w14:textId="77777777" w:rsidR="00E465D0" w:rsidRPr="00745B90" w:rsidRDefault="00E465D0" w:rsidP="003003C4">
            <w:pPr>
              <w:jc w:val="right"/>
              <w:rPr>
                <w:rFonts w:eastAsia="Times New Roman"/>
                <w:sz w:val="20"/>
                <w:szCs w:val="20"/>
              </w:rPr>
            </w:pPr>
            <w:r w:rsidRPr="00745B90">
              <w:rPr>
                <w:color w:val="000000"/>
                <w:sz w:val="20"/>
                <w:szCs w:val="20"/>
              </w:rPr>
              <w:t>2.47</w:t>
            </w:r>
          </w:p>
        </w:tc>
        <w:tc>
          <w:tcPr>
            <w:tcW w:w="810" w:type="dxa"/>
            <w:noWrap/>
            <w:tcMar>
              <w:left w:w="58" w:type="dxa"/>
              <w:right w:w="58" w:type="dxa"/>
            </w:tcMar>
            <w:vAlign w:val="center"/>
          </w:tcPr>
          <w:p w14:paraId="7486E359" w14:textId="77777777" w:rsidR="00E465D0" w:rsidRPr="00745B90" w:rsidRDefault="00E465D0" w:rsidP="003003C4">
            <w:pPr>
              <w:jc w:val="right"/>
              <w:rPr>
                <w:rFonts w:eastAsia="Times New Roman"/>
                <w:strike/>
                <w:sz w:val="20"/>
                <w:szCs w:val="20"/>
              </w:rPr>
            </w:pPr>
            <w:r w:rsidRPr="00745B90">
              <w:rPr>
                <w:rFonts w:eastAsia="Times New Roman"/>
                <w:strike/>
                <w:sz w:val="20"/>
                <w:szCs w:val="20"/>
              </w:rPr>
              <w:t>--</w:t>
            </w:r>
          </w:p>
        </w:tc>
        <w:tc>
          <w:tcPr>
            <w:tcW w:w="810" w:type="dxa"/>
            <w:noWrap/>
            <w:tcMar>
              <w:left w:w="58" w:type="dxa"/>
              <w:right w:w="58" w:type="dxa"/>
            </w:tcMar>
            <w:vAlign w:val="center"/>
          </w:tcPr>
          <w:p w14:paraId="75CCB8B4" w14:textId="77777777" w:rsidR="00E465D0" w:rsidRPr="00745B90" w:rsidRDefault="00E465D0" w:rsidP="003003C4">
            <w:pPr>
              <w:jc w:val="right"/>
              <w:rPr>
                <w:rFonts w:eastAsia="Times New Roman"/>
                <w:strike/>
                <w:sz w:val="20"/>
                <w:szCs w:val="20"/>
              </w:rPr>
            </w:pPr>
          </w:p>
        </w:tc>
        <w:tc>
          <w:tcPr>
            <w:tcW w:w="774" w:type="dxa"/>
            <w:noWrap/>
            <w:tcMar>
              <w:left w:w="58" w:type="dxa"/>
              <w:right w:w="58" w:type="dxa"/>
            </w:tcMar>
            <w:vAlign w:val="center"/>
            <w:hideMark/>
          </w:tcPr>
          <w:p w14:paraId="49D6B678"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hideMark/>
          </w:tcPr>
          <w:p w14:paraId="4D22F4C8" w14:textId="77777777" w:rsidR="00E465D0" w:rsidRPr="00745B90" w:rsidRDefault="00E465D0" w:rsidP="003003C4">
            <w:pPr>
              <w:jc w:val="right"/>
              <w:rPr>
                <w:rFonts w:eastAsia="Times New Roman"/>
                <w:sz w:val="20"/>
                <w:szCs w:val="20"/>
              </w:rPr>
            </w:pPr>
          </w:p>
        </w:tc>
      </w:tr>
      <w:tr w:rsidR="00E465D0" w:rsidRPr="00745B90" w14:paraId="39E5586B"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3FC3140F"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Household Level Characteristics</w:t>
            </w:r>
          </w:p>
        </w:tc>
      </w:tr>
      <w:tr w:rsidR="00E465D0" w:rsidRPr="00745B90" w14:paraId="2D1F8B15"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2E7DD9F6" w14:textId="75FCA75B" w:rsidR="00E465D0" w:rsidRPr="00745B90" w:rsidRDefault="00E465D0" w:rsidP="003003C4">
            <w:pPr>
              <w:jc w:val="left"/>
              <w:rPr>
                <w:rFonts w:eastAsia="Times New Roman"/>
                <w:sz w:val="20"/>
                <w:szCs w:val="20"/>
              </w:rPr>
            </w:pPr>
            <w:r w:rsidRPr="00745B90">
              <w:rPr>
                <w:rFonts w:eastAsia="Times New Roman"/>
                <w:b/>
                <w:bCs/>
                <w:sz w:val="20"/>
                <w:szCs w:val="20"/>
              </w:rPr>
              <w:t xml:space="preserve">Annual </w:t>
            </w:r>
            <w:r w:rsidR="00745B90" w:rsidRPr="00745B90">
              <w:rPr>
                <w:rFonts w:eastAsia="Times New Roman"/>
                <w:b/>
                <w:bCs/>
                <w:sz w:val="20"/>
                <w:szCs w:val="20"/>
              </w:rPr>
              <w:t>I</w:t>
            </w:r>
            <w:r w:rsidRPr="00745B90">
              <w:rPr>
                <w:rFonts w:eastAsia="Times New Roman"/>
                <w:b/>
                <w:bCs/>
                <w:sz w:val="20"/>
                <w:szCs w:val="20"/>
              </w:rPr>
              <w:t xml:space="preserve">ncome </w:t>
            </w:r>
            <w:r w:rsidR="00745B90" w:rsidRPr="00745B90">
              <w:rPr>
                <w:rFonts w:eastAsia="Times New Roman"/>
                <w:b/>
                <w:bCs/>
                <w:sz w:val="20"/>
                <w:szCs w:val="20"/>
              </w:rPr>
              <w:t>L</w:t>
            </w:r>
            <w:r w:rsidRPr="00745B90">
              <w:rPr>
                <w:rFonts w:eastAsia="Times New Roman"/>
                <w:b/>
                <w:bCs/>
                <w:sz w:val="20"/>
                <w:szCs w:val="20"/>
              </w:rPr>
              <w:t>evel (less than $50,000)</w:t>
            </w:r>
          </w:p>
        </w:tc>
      </w:tr>
      <w:tr w:rsidR="00E465D0" w:rsidRPr="00745B90" w14:paraId="292A32CA" w14:textId="77777777" w:rsidTr="003003C4">
        <w:trPr>
          <w:trHeight w:val="245"/>
        </w:trPr>
        <w:tc>
          <w:tcPr>
            <w:tcW w:w="4670" w:type="dxa"/>
            <w:tcBorders>
              <w:left w:val="double" w:sz="4" w:space="0" w:color="auto"/>
            </w:tcBorders>
            <w:noWrap/>
            <w:tcMar>
              <w:left w:w="58" w:type="dxa"/>
              <w:right w:w="58" w:type="dxa"/>
            </w:tcMar>
            <w:vAlign w:val="center"/>
            <w:hideMark/>
          </w:tcPr>
          <w:p w14:paraId="2E2780DE" w14:textId="4556A564" w:rsidR="00E465D0" w:rsidRPr="00745B90" w:rsidRDefault="00E465D0" w:rsidP="003003C4">
            <w:pPr>
              <w:jc w:val="left"/>
              <w:rPr>
                <w:rFonts w:eastAsia="Times New Roman"/>
                <w:sz w:val="20"/>
                <w:szCs w:val="20"/>
              </w:rPr>
            </w:pPr>
            <w:r w:rsidRPr="00745B90">
              <w:rPr>
                <w:rFonts w:eastAsia="Times New Roman"/>
                <w:sz w:val="20"/>
                <w:szCs w:val="20"/>
              </w:rPr>
              <w:t>$50,000 to $7</w:t>
            </w:r>
            <w:r w:rsidR="002248E4" w:rsidRPr="00745B90">
              <w:rPr>
                <w:rFonts w:eastAsia="Times New Roman"/>
                <w:sz w:val="20"/>
                <w:szCs w:val="20"/>
              </w:rPr>
              <w:t>4,999</w:t>
            </w:r>
          </w:p>
        </w:tc>
        <w:tc>
          <w:tcPr>
            <w:tcW w:w="810" w:type="dxa"/>
            <w:noWrap/>
            <w:tcMar>
              <w:left w:w="58" w:type="dxa"/>
              <w:right w:w="58" w:type="dxa"/>
            </w:tcMar>
            <w:vAlign w:val="center"/>
            <w:hideMark/>
          </w:tcPr>
          <w:p w14:paraId="3C878F21" w14:textId="77777777" w:rsidR="00E465D0" w:rsidRPr="00745B90" w:rsidRDefault="00E465D0" w:rsidP="003003C4">
            <w:pPr>
              <w:jc w:val="right"/>
              <w:rPr>
                <w:rFonts w:eastAsia="Times New Roman"/>
                <w:sz w:val="20"/>
                <w:szCs w:val="20"/>
              </w:rPr>
            </w:pPr>
            <w:r w:rsidRPr="00745B90">
              <w:rPr>
                <w:color w:val="000000"/>
                <w:sz w:val="20"/>
                <w:szCs w:val="20"/>
              </w:rPr>
              <w:t>0.252</w:t>
            </w:r>
          </w:p>
        </w:tc>
        <w:tc>
          <w:tcPr>
            <w:tcW w:w="810" w:type="dxa"/>
            <w:noWrap/>
            <w:tcMar>
              <w:left w:w="58" w:type="dxa"/>
              <w:right w:w="58" w:type="dxa"/>
            </w:tcMar>
            <w:vAlign w:val="center"/>
            <w:hideMark/>
          </w:tcPr>
          <w:p w14:paraId="378AAD98" w14:textId="77777777" w:rsidR="00E465D0" w:rsidRPr="00745B90" w:rsidRDefault="00E465D0" w:rsidP="003003C4">
            <w:pPr>
              <w:jc w:val="right"/>
              <w:rPr>
                <w:rFonts w:eastAsia="Times New Roman"/>
                <w:sz w:val="20"/>
                <w:szCs w:val="20"/>
              </w:rPr>
            </w:pPr>
            <w:r w:rsidRPr="00745B90">
              <w:rPr>
                <w:color w:val="000000"/>
                <w:sz w:val="20"/>
                <w:szCs w:val="20"/>
              </w:rPr>
              <w:t>3.15</w:t>
            </w:r>
          </w:p>
        </w:tc>
        <w:tc>
          <w:tcPr>
            <w:tcW w:w="810" w:type="dxa"/>
            <w:noWrap/>
            <w:tcMar>
              <w:left w:w="58" w:type="dxa"/>
              <w:right w:w="58" w:type="dxa"/>
            </w:tcMar>
            <w:vAlign w:val="center"/>
            <w:hideMark/>
          </w:tcPr>
          <w:p w14:paraId="5E327A6E"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hideMark/>
          </w:tcPr>
          <w:p w14:paraId="518FC279"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hideMark/>
          </w:tcPr>
          <w:p w14:paraId="1324871C"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hideMark/>
          </w:tcPr>
          <w:p w14:paraId="7B5FE6E7" w14:textId="77777777" w:rsidR="00E465D0" w:rsidRPr="00745B90" w:rsidRDefault="00E465D0" w:rsidP="003003C4">
            <w:pPr>
              <w:jc w:val="right"/>
              <w:rPr>
                <w:rFonts w:eastAsia="Times New Roman"/>
                <w:sz w:val="20"/>
                <w:szCs w:val="20"/>
              </w:rPr>
            </w:pPr>
          </w:p>
        </w:tc>
      </w:tr>
      <w:tr w:rsidR="00E465D0" w:rsidRPr="00745B90" w14:paraId="6526D9B0" w14:textId="77777777" w:rsidTr="003003C4">
        <w:trPr>
          <w:trHeight w:val="245"/>
        </w:trPr>
        <w:tc>
          <w:tcPr>
            <w:tcW w:w="4670" w:type="dxa"/>
            <w:tcBorders>
              <w:left w:val="double" w:sz="4" w:space="0" w:color="auto"/>
            </w:tcBorders>
            <w:noWrap/>
            <w:tcMar>
              <w:left w:w="58" w:type="dxa"/>
              <w:right w:w="58" w:type="dxa"/>
            </w:tcMar>
            <w:vAlign w:val="center"/>
            <w:hideMark/>
          </w:tcPr>
          <w:p w14:paraId="52EB476C" w14:textId="2813D328" w:rsidR="00E465D0" w:rsidRPr="00745B90" w:rsidRDefault="00E465D0" w:rsidP="003003C4">
            <w:pPr>
              <w:jc w:val="left"/>
              <w:rPr>
                <w:rFonts w:eastAsia="Times New Roman"/>
                <w:sz w:val="20"/>
                <w:szCs w:val="20"/>
              </w:rPr>
            </w:pPr>
            <w:r w:rsidRPr="00745B90">
              <w:rPr>
                <w:rFonts w:eastAsia="Times New Roman"/>
                <w:sz w:val="20"/>
                <w:szCs w:val="20"/>
              </w:rPr>
              <w:t>$75,000 to $</w:t>
            </w:r>
            <w:r w:rsidR="002248E4" w:rsidRPr="00745B90">
              <w:rPr>
                <w:rFonts w:eastAsia="Times New Roman"/>
                <w:sz w:val="20"/>
                <w:szCs w:val="20"/>
              </w:rPr>
              <w:t>99,999</w:t>
            </w:r>
          </w:p>
        </w:tc>
        <w:tc>
          <w:tcPr>
            <w:tcW w:w="810" w:type="dxa"/>
            <w:noWrap/>
            <w:tcMar>
              <w:left w:w="58" w:type="dxa"/>
              <w:right w:w="58" w:type="dxa"/>
            </w:tcMar>
            <w:vAlign w:val="center"/>
            <w:hideMark/>
          </w:tcPr>
          <w:p w14:paraId="271FE47C" w14:textId="77777777" w:rsidR="00E465D0" w:rsidRPr="00745B90" w:rsidRDefault="00E465D0" w:rsidP="003003C4">
            <w:pPr>
              <w:jc w:val="right"/>
              <w:rPr>
                <w:rFonts w:eastAsia="Times New Roman"/>
                <w:sz w:val="20"/>
                <w:szCs w:val="20"/>
              </w:rPr>
            </w:pPr>
            <w:r w:rsidRPr="00745B90">
              <w:rPr>
                <w:color w:val="000000"/>
                <w:sz w:val="20"/>
                <w:szCs w:val="20"/>
              </w:rPr>
              <w:t>0.312</w:t>
            </w:r>
          </w:p>
        </w:tc>
        <w:tc>
          <w:tcPr>
            <w:tcW w:w="810" w:type="dxa"/>
            <w:noWrap/>
            <w:tcMar>
              <w:left w:w="58" w:type="dxa"/>
              <w:right w:w="58" w:type="dxa"/>
            </w:tcMar>
            <w:vAlign w:val="center"/>
            <w:hideMark/>
          </w:tcPr>
          <w:p w14:paraId="0D8D3241" w14:textId="77777777" w:rsidR="00E465D0" w:rsidRPr="00745B90" w:rsidRDefault="00E465D0" w:rsidP="003003C4">
            <w:pPr>
              <w:jc w:val="right"/>
              <w:rPr>
                <w:rFonts w:eastAsia="Times New Roman"/>
                <w:sz w:val="20"/>
                <w:szCs w:val="20"/>
              </w:rPr>
            </w:pPr>
            <w:r w:rsidRPr="00745B90">
              <w:rPr>
                <w:color w:val="000000"/>
                <w:sz w:val="20"/>
                <w:szCs w:val="20"/>
              </w:rPr>
              <w:t>3.65</w:t>
            </w:r>
          </w:p>
        </w:tc>
        <w:tc>
          <w:tcPr>
            <w:tcW w:w="810" w:type="dxa"/>
            <w:noWrap/>
            <w:tcMar>
              <w:left w:w="58" w:type="dxa"/>
              <w:right w:w="58" w:type="dxa"/>
            </w:tcMar>
            <w:vAlign w:val="center"/>
            <w:hideMark/>
          </w:tcPr>
          <w:p w14:paraId="7CCDACD8"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hideMark/>
          </w:tcPr>
          <w:p w14:paraId="796CD460"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hideMark/>
          </w:tcPr>
          <w:p w14:paraId="5F1C5518"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hideMark/>
          </w:tcPr>
          <w:p w14:paraId="5CF95B0D" w14:textId="77777777" w:rsidR="00E465D0" w:rsidRPr="00745B90" w:rsidRDefault="00E465D0" w:rsidP="003003C4">
            <w:pPr>
              <w:jc w:val="right"/>
              <w:rPr>
                <w:rFonts w:eastAsia="Times New Roman"/>
                <w:sz w:val="20"/>
                <w:szCs w:val="20"/>
              </w:rPr>
            </w:pPr>
          </w:p>
        </w:tc>
      </w:tr>
      <w:tr w:rsidR="00E465D0" w:rsidRPr="00745B90" w14:paraId="270052EF" w14:textId="77777777" w:rsidTr="003003C4">
        <w:trPr>
          <w:trHeight w:val="245"/>
        </w:trPr>
        <w:tc>
          <w:tcPr>
            <w:tcW w:w="4670" w:type="dxa"/>
            <w:tcBorders>
              <w:left w:val="double" w:sz="4" w:space="0" w:color="auto"/>
            </w:tcBorders>
            <w:noWrap/>
            <w:tcMar>
              <w:left w:w="58" w:type="dxa"/>
              <w:right w:w="58" w:type="dxa"/>
            </w:tcMar>
            <w:vAlign w:val="center"/>
            <w:hideMark/>
          </w:tcPr>
          <w:p w14:paraId="1E7A1838" w14:textId="1B98799A" w:rsidR="00E465D0" w:rsidRPr="00745B90" w:rsidRDefault="00E465D0" w:rsidP="003003C4">
            <w:pPr>
              <w:jc w:val="left"/>
              <w:rPr>
                <w:rFonts w:eastAsia="Times New Roman"/>
                <w:sz w:val="20"/>
                <w:szCs w:val="20"/>
              </w:rPr>
            </w:pPr>
            <w:r w:rsidRPr="00745B90">
              <w:rPr>
                <w:rFonts w:eastAsia="Times New Roman"/>
                <w:sz w:val="20"/>
                <w:szCs w:val="20"/>
              </w:rPr>
              <w:t xml:space="preserve">$100,000 to </w:t>
            </w:r>
            <w:r w:rsidR="002248E4" w:rsidRPr="00745B90">
              <w:rPr>
                <w:rFonts w:eastAsia="Times New Roman"/>
                <w:sz w:val="20"/>
                <w:szCs w:val="20"/>
              </w:rPr>
              <w:t>$199,999</w:t>
            </w:r>
          </w:p>
        </w:tc>
        <w:tc>
          <w:tcPr>
            <w:tcW w:w="810" w:type="dxa"/>
            <w:noWrap/>
            <w:tcMar>
              <w:left w:w="58" w:type="dxa"/>
              <w:right w:w="58" w:type="dxa"/>
            </w:tcMar>
            <w:vAlign w:val="center"/>
            <w:hideMark/>
          </w:tcPr>
          <w:p w14:paraId="4CFFE9AB" w14:textId="77777777" w:rsidR="00E465D0" w:rsidRPr="00745B90" w:rsidRDefault="00E465D0" w:rsidP="003003C4">
            <w:pPr>
              <w:jc w:val="right"/>
              <w:rPr>
                <w:rFonts w:eastAsia="Times New Roman"/>
                <w:sz w:val="20"/>
                <w:szCs w:val="20"/>
              </w:rPr>
            </w:pPr>
            <w:r w:rsidRPr="00745B90">
              <w:rPr>
                <w:color w:val="000000"/>
                <w:sz w:val="20"/>
                <w:szCs w:val="20"/>
              </w:rPr>
              <w:t>0.506</w:t>
            </w:r>
          </w:p>
        </w:tc>
        <w:tc>
          <w:tcPr>
            <w:tcW w:w="810" w:type="dxa"/>
            <w:noWrap/>
            <w:tcMar>
              <w:left w:w="58" w:type="dxa"/>
              <w:right w:w="58" w:type="dxa"/>
            </w:tcMar>
            <w:vAlign w:val="center"/>
            <w:hideMark/>
          </w:tcPr>
          <w:p w14:paraId="10B43059" w14:textId="77777777" w:rsidR="00E465D0" w:rsidRPr="00745B90" w:rsidRDefault="00E465D0" w:rsidP="003003C4">
            <w:pPr>
              <w:jc w:val="right"/>
              <w:rPr>
                <w:rFonts w:eastAsia="Times New Roman"/>
                <w:sz w:val="20"/>
                <w:szCs w:val="20"/>
              </w:rPr>
            </w:pPr>
            <w:r w:rsidRPr="00745B90">
              <w:rPr>
                <w:color w:val="000000"/>
                <w:sz w:val="20"/>
                <w:szCs w:val="20"/>
              </w:rPr>
              <w:t>7.02</w:t>
            </w:r>
          </w:p>
        </w:tc>
        <w:tc>
          <w:tcPr>
            <w:tcW w:w="810" w:type="dxa"/>
            <w:noWrap/>
            <w:tcMar>
              <w:left w:w="58" w:type="dxa"/>
              <w:right w:w="58" w:type="dxa"/>
            </w:tcMar>
            <w:vAlign w:val="center"/>
            <w:hideMark/>
          </w:tcPr>
          <w:p w14:paraId="6BAF7708"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hideMark/>
          </w:tcPr>
          <w:p w14:paraId="457670A8"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6BCCB585"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tcPr>
          <w:p w14:paraId="275C9D03" w14:textId="77777777" w:rsidR="00E465D0" w:rsidRPr="00745B90" w:rsidRDefault="00E465D0" w:rsidP="003003C4">
            <w:pPr>
              <w:jc w:val="right"/>
              <w:rPr>
                <w:rFonts w:eastAsia="Times New Roman"/>
                <w:sz w:val="20"/>
                <w:szCs w:val="20"/>
              </w:rPr>
            </w:pPr>
          </w:p>
        </w:tc>
      </w:tr>
      <w:tr w:rsidR="00E465D0" w:rsidRPr="00745B90" w14:paraId="20FBB731" w14:textId="77777777" w:rsidTr="003003C4">
        <w:trPr>
          <w:trHeight w:val="245"/>
        </w:trPr>
        <w:tc>
          <w:tcPr>
            <w:tcW w:w="4670" w:type="dxa"/>
            <w:tcBorders>
              <w:left w:val="double" w:sz="4" w:space="0" w:color="auto"/>
            </w:tcBorders>
            <w:noWrap/>
            <w:tcMar>
              <w:left w:w="58" w:type="dxa"/>
              <w:right w:w="58" w:type="dxa"/>
            </w:tcMar>
            <w:vAlign w:val="center"/>
            <w:hideMark/>
          </w:tcPr>
          <w:p w14:paraId="527A624E" w14:textId="77777777" w:rsidR="00E465D0" w:rsidRPr="00745B90" w:rsidRDefault="00E465D0" w:rsidP="003003C4">
            <w:pPr>
              <w:jc w:val="left"/>
              <w:rPr>
                <w:rFonts w:eastAsia="Times New Roman"/>
                <w:sz w:val="20"/>
                <w:szCs w:val="20"/>
              </w:rPr>
            </w:pPr>
            <w:r w:rsidRPr="00745B90">
              <w:rPr>
                <w:rFonts w:eastAsia="Times New Roman"/>
                <w:sz w:val="20"/>
                <w:szCs w:val="20"/>
              </w:rPr>
              <w:t>Over $200,000</w:t>
            </w:r>
          </w:p>
        </w:tc>
        <w:tc>
          <w:tcPr>
            <w:tcW w:w="810" w:type="dxa"/>
            <w:noWrap/>
            <w:tcMar>
              <w:left w:w="58" w:type="dxa"/>
              <w:right w:w="58" w:type="dxa"/>
            </w:tcMar>
            <w:vAlign w:val="center"/>
            <w:hideMark/>
          </w:tcPr>
          <w:p w14:paraId="3C1A2F1D" w14:textId="77777777" w:rsidR="00E465D0" w:rsidRPr="00745B90" w:rsidRDefault="00E465D0" w:rsidP="003003C4">
            <w:pPr>
              <w:jc w:val="right"/>
              <w:rPr>
                <w:rFonts w:eastAsia="Times New Roman"/>
                <w:sz w:val="20"/>
                <w:szCs w:val="20"/>
              </w:rPr>
            </w:pPr>
            <w:r w:rsidRPr="00745B90">
              <w:rPr>
                <w:color w:val="000000"/>
                <w:sz w:val="20"/>
                <w:szCs w:val="20"/>
              </w:rPr>
              <w:t>0.782</w:t>
            </w:r>
          </w:p>
        </w:tc>
        <w:tc>
          <w:tcPr>
            <w:tcW w:w="810" w:type="dxa"/>
            <w:noWrap/>
            <w:tcMar>
              <w:left w:w="58" w:type="dxa"/>
              <w:right w:w="58" w:type="dxa"/>
            </w:tcMar>
            <w:vAlign w:val="center"/>
            <w:hideMark/>
          </w:tcPr>
          <w:p w14:paraId="538E5123" w14:textId="77777777" w:rsidR="00E465D0" w:rsidRPr="00745B90" w:rsidRDefault="00E465D0" w:rsidP="003003C4">
            <w:pPr>
              <w:jc w:val="right"/>
              <w:rPr>
                <w:rFonts w:eastAsia="Times New Roman"/>
                <w:sz w:val="20"/>
                <w:szCs w:val="20"/>
              </w:rPr>
            </w:pPr>
            <w:r w:rsidRPr="00745B90">
              <w:rPr>
                <w:color w:val="000000"/>
                <w:sz w:val="20"/>
                <w:szCs w:val="20"/>
              </w:rPr>
              <w:t>6.28</w:t>
            </w:r>
          </w:p>
        </w:tc>
        <w:tc>
          <w:tcPr>
            <w:tcW w:w="810" w:type="dxa"/>
            <w:noWrap/>
            <w:tcMar>
              <w:left w:w="58" w:type="dxa"/>
              <w:right w:w="58" w:type="dxa"/>
            </w:tcMar>
            <w:vAlign w:val="center"/>
            <w:hideMark/>
          </w:tcPr>
          <w:p w14:paraId="15CB913F" w14:textId="77777777" w:rsidR="00E465D0" w:rsidRPr="00745B90" w:rsidRDefault="00E465D0" w:rsidP="003003C4">
            <w:pPr>
              <w:jc w:val="right"/>
              <w:rPr>
                <w:rFonts w:eastAsia="Times New Roman"/>
                <w:sz w:val="20"/>
                <w:szCs w:val="20"/>
              </w:rPr>
            </w:pPr>
            <w:r w:rsidRPr="00745B90">
              <w:rPr>
                <w:color w:val="000000"/>
                <w:sz w:val="20"/>
                <w:szCs w:val="20"/>
              </w:rPr>
              <w:t>-0.065</w:t>
            </w:r>
          </w:p>
        </w:tc>
        <w:tc>
          <w:tcPr>
            <w:tcW w:w="810" w:type="dxa"/>
            <w:noWrap/>
            <w:tcMar>
              <w:left w:w="58" w:type="dxa"/>
              <w:right w:w="58" w:type="dxa"/>
            </w:tcMar>
            <w:vAlign w:val="center"/>
            <w:hideMark/>
          </w:tcPr>
          <w:p w14:paraId="3D8FD615" w14:textId="77777777" w:rsidR="00E465D0" w:rsidRPr="00745B90" w:rsidRDefault="00E465D0" w:rsidP="003003C4">
            <w:pPr>
              <w:jc w:val="right"/>
              <w:rPr>
                <w:rFonts w:eastAsia="Times New Roman"/>
                <w:sz w:val="20"/>
                <w:szCs w:val="20"/>
              </w:rPr>
            </w:pPr>
            <w:r w:rsidRPr="00745B90">
              <w:rPr>
                <w:color w:val="000000"/>
                <w:sz w:val="20"/>
                <w:szCs w:val="20"/>
              </w:rPr>
              <w:t>-2.82</w:t>
            </w:r>
          </w:p>
        </w:tc>
        <w:tc>
          <w:tcPr>
            <w:tcW w:w="774" w:type="dxa"/>
            <w:noWrap/>
            <w:tcMar>
              <w:left w:w="58" w:type="dxa"/>
              <w:right w:w="58" w:type="dxa"/>
            </w:tcMar>
            <w:vAlign w:val="center"/>
          </w:tcPr>
          <w:p w14:paraId="5214C64F"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tcPr>
          <w:p w14:paraId="0208A702" w14:textId="77777777" w:rsidR="00E465D0" w:rsidRPr="00745B90" w:rsidRDefault="00E465D0" w:rsidP="003003C4">
            <w:pPr>
              <w:jc w:val="right"/>
              <w:rPr>
                <w:rFonts w:eastAsia="Times New Roman"/>
                <w:sz w:val="20"/>
                <w:szCs w:val="20"/>
              </w:rPr>
            </w:pPr>
          </w:p>
        </w:tc>
      </w:tr>
      <w:tr w:rsidR="00E465D0" w:rsidRPr="00745B90" w14:paraId="34A1A236"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hideMark/>
          </w:tcPr>
          <w:p w14:paraId="73AFA6DF" w14:textId="2872B69D" w:rsidR="00E465D0" w:rsidRPr="00745B90" w:rsidRDefault="00E465D0" w:rsidP="003003C4">
            <w:pPr>
              <w:jc w:val="left"/>
              <w:rPr>
                <w:rFonts w:eastAsia="Times New Roman"/>
                <w:sz w:val="20"/>
                <w:szCs w:val="20"/>
              </w:rPr>
            </w:pPr>
            <w:r w:rsidRPr="00745B90">
              <w:rPr>
                <w:rFonts w:eastAsia="Times New Roman"/>
                <w:b/>
                <w:bCs/>
                <w:sz w:val="20"/>
                <w:szCs w:val="20"/>
              </w:rPr>
              <w:t xml:space="preserve">Number of </w:t>
            </w:r>
            <w:r w:rsidR="00745B90" w:rsidRPr="00745B90">
              <w:rPr>
                <w:rFonts w:eastAsia="Times New Roman"/>
                <w:b/>
                <w:bCs/>
                <w:sz w:val="20"/>
                <w:szCs w:val="20"/>
              </w:rPr>
              <w:t>V</w:t>
            </w:r>
            <w:r w:rsidRPr="00745B90">
              <w:rPr>
                <w:rFonts w:eastAsia="Times New Roman"/>
                <w:b/>
                <w:bCs/>
                <w:sz w:val="20"/>
                <w:szCs w:val="20"/>
              </w:rPr>
              <w:t>ehicles (three or more vehicles)</w:t>
            </w:r>
          </w:p>
        </w:tc>
      </w:tr>
      <w:tr w:rsidR="00E465D0" w:rsidRPr="00745B90" w14:paraId="51BE1414" w14:textId="77777777" w:rsidTr="003003C4">
        <w:trPr>
          <w:trHeight w:val="245"/>
        </w:trPr>
        <w:tc>
          <w:tcPr>
            <w:tcW w:w="4670" w:type="dxa"/>
            <w:tcBorders>
              <w:left w:val="double" w:sz="4" w:space="0" w:color="auto"/>
            </w:tcBorders>
            <w:noWrap/>
            <w:tcMar>
              <w:left w:w="58" w:type="dxa"/>
              <w:right w:w="58" w:type="dxa"/>
            </w:tcMar>
            <w:vAlign w:val="center"/>
            <w:hideMark/>
          </w:tcPr>
          <w:p w14:paraId="37D8CC5B" w14:textId="77777777" w:rsidR="00E465D0" w:rsidRPr="00745B90" w:rsidRDefault="00E465D0" w:rsidP="003003C4">
            <w:pPr>
              <w:jc w:val="left"/>
              <w:rPr>
                <w:rFonts w:eastAsia="Times New Roman"/>
                <w:sz w:val="20"/>
                <w:szCs w:val="20"/>
              </w:rPr>
            </w:pPr>
            <w:r w:rsidRPr="00745B90">
              <w:rPr>
                <w:rFonts w:eastAsia="Times New Roman"/>
                <w:sz w:val="20"/>
                <w:szCs w:val="20"/>
              </w:rPr>
              <w:t>Zero</w:t>
            </w:r>
          </w:p>
        </w:tc>
        <w:tc>
          <w:tcPr>
            <w:tcW w:w="810" w:type="dxa"/>
            <w:noWrap/>
            <w:tcMar>
              <w:left w:w="58" w:type="dxa"/>
              <w:right w:w="58" w:type="dxa"/>
            </w:tcMar>
            <w:vAlign w:val="center"/>
            <w:hideMark/>
          </w:tcPr>
          <w:p w14:paraId="132497A0" w14:textId="77777777" w:rsidR="00E465D0" w:rsidRPr="00745B90" w:rsidRDefault="00E465D0" w:rsidP="003003C4">
            <w:pPr>
              <w:jc w:val="right"/>
              <w:rPr>
                <w:rFonts w:eastAsia="Times New Roman"/>
                <w:sz w:val="20"/>
                <w:szCs w:val="20"/>
              </w:rPr>
            </w:pPr>
            <w:r w:rsidRPr="00745B90">
              <w:rPr>
                <w:color w:val="000000"/>
                <w:sz w:val="20"/>
                <w:szCs w:val="20"/>
              </w:rPr>
              <w:t>0.311</w:t>
            </w:r>
          </w:p>
        </w:tc>
        <w:tc>
          <w:tcPr>
            <w:tcW w:w="810" w:type="dxa"/>
            <w:noWrap/>
            <w:tcMar>
              <w:left w:w="58" w:type="dxa"/>
              <w:right w:w="58" w:type="dxa"/>
            </w:tcMar>
            <w:vAlign w:val="center"/>
            <w:hideMark/>
          </w:tcPr>
          <w:p w14:paraId="7DD9A36C" w14:textId="77777777" w:rsidR="00E465D0" w:rsidRPr="00745B90" w:rsidRDefault="00E465D0" w:rsidP="003003C4">
            <w:pPr>
              <w:jc w:val="right"/>
              <w:rPr>
                <w:rFonts w:eastAsia="Times New Roman"/>
                <w:sz w:val="20"/>
                <w:szCs w:val="20"/>
              </w:rPr>
            </w:pPr>
            <w:r w:rsidRPr="00745B90">
              <w:rPr>
                <w:color w:val="000000"/>
                <w:sz w:val="20"/>
                <w:szCs w:val="20"/>
              </w:rPr>
              <w:t>3.60</w:t>
            </w:r>
          </w:p>
        </w:tc>
        <w:tc>
          <w:tcPr>
            <w:tcW w:w="810" w:type="dxa"/>
            <w:noWrap/>
            <w:tcMar>
              <w:left w:w="58" w:type="dxa"/>
              <w:right w:w="58" w:type="dxa"/>
            </w:tcMar>
            <w:vAlign w:val="center"/>
            <w:hideMark/>
          </w:tcPr>
          <w:p w14:paraId="215F5F52" w14:textId="77777777" w:rsidR="00E465D0" w:rsidRPr="00745B90" w:rsidRDefault="00E465D0" w:rsidP="003003C4">
            <w:pPr>
              <w:jc w:val="right"/>
              <w:rPr>
                <w:rFonts w:eastAsia="Times New Roman"/>
                <w:sz w:val="20"/>
                <w:szCs w:val="20"/>
              </w:rPr>
            </w:pPr>
            <w:r w:rsidRPr="00745B90">
              <w:rPr>
                <w:color w:val="000000"/>
                <w:sz w:val="20"/>
                <w:szCs w:val="20"/>
              </w:rPr>
              <w:t>-0.172</w:t>
            </w:r>
          </w:p>
        </w:tc>
        <w:tc>
          <w:tcPr>
            <w:tcW w:w="810" w:type="dxa"/>
            <w:noWrap/>
            <w:tcMar>
              <w:left w:w="58" w:type="dxa"/>
              <w:right w:w="58" w:type="dxa"/>
            </w:tcMar>
            <w:vAlign w:val="center"/>
            <w:hideMark/>
          </w:tcPr>
          <w:p w14:paraId="62D894A5" w14:textId="77777777" w:rsidR="00E465D0" w:rsidRPr="00745B90" w:rsidRDefault="00E465D0" w:rsidP="003003C4">
            <w:pPr>
              <w:jc w:val="right"/>
              <w:rPr>
                <w:rFonts w:eastAsia="Times New Roman"/>
                <w:sz w:val="20"/>
                <w:szCs w:val="20"/>
              </w:rPr>
            </w:pPr>
            <w:r w:rsidRPr="00745B90">
              <w:rPr>
                <w:color w:val="000000"/>
                <w:sz w:val="20"/>
                <w:szCs w:val="20"/>
              </w:rPr>
              <w:t>-5.16</w:t>
            </w:r>
          </w:p>
        </w:tc>
        <w:tc>
          <w:tcPr>
            <w:tcW w:w="774" w:type="dxa"/>
            <w:noWrap/>
            <w:tcMar>
              <w:left w:w="58" w:type="dxa"/>
              <w:right w:w="58" w:type="dxa"/>
            </w:tcMar>
            <w:vAlign w:val="center"/>
            <w:hideMark/>
          </w:tcPr>
          <w:p w14:paraId="29CB5F33" w14:textId="77777777" w:rsidR="00E465D0" w:rsidRPr="00745B90" w:rsidRDefault="00E465D0" w:rsidP="003003C4">
            <w:pPr>
              <w:jc w:val="right"/>
              <w:rPr>
                <w:rFonts w:eastAsia="Times New Roman"/>
                <w:sz w:val="20"/>
                <w:szCs w:val="20"/>
              </w:rPr>
            </w:pPr>
            <w:r w:rsidRPr="00745B90">
              <w:rPr>
                <w:color w:val="000000"/>
                <w:sz w:val="20"/>
                <w:szCs w:val="20"/>
              </w:rPr>
              <w:t>-0.207</w:t>
            </w:r>
          </w:p>
        </w:tc>
        <w:tc>
          <w:tcPr>
            <w:tcW w:w="724" w:type="dxa"/>
            <w:tcBorders>
              <w:right w:val="double" w:sz="4" w:space="0" w:color="auto"/>
            </w:tcBorders>
            <w:noWrap/>
            <w:tcMar>
              <w:left w:w="58" w:type="dxa"/>
              <w:right w:w="58" w:type="dxa"/>
            </w:tcMar>
            <w:vAlign w:val="center"/>
            <w:hideMark/>
          </w:tcPr>
          <w:p w14:paraId="7A0FF886" w14:textId="77777777" w:rsidR="00E465D0" w:rsidRPr="00745B90" w:rsidRDefault="00E465D0" w:rsidP="003003C4">
            <w:pPr>
              <w:jc w:val="right"/>
              <w:rPr>
                <w:rFonts w:eastAsia="Times New Roman"/>
                <w:sz w:val="20"/>
                <w:szCs w:val="20"/>
              </w:rPr>
            </w:pPr>
            <w:r w:rsidRPr="00745B90">
              <w:rPr>
                <w:color w:val="000000"/>
                <w:sz w:val="20"/>
                <w:szCs w:val="20"/>
              </w:rPr>
              <w:t>-3.14</w:t>
            </w:r>
          </w:p>
        </w:tc>
      </w:tr>
      <w:tr w:rsidR="00E465D0" w:rsidRPr="00745B90" w14:paraId="44FE4F4B" w14:textId="77777777" w:rsidTr="003003C4">
        <w:trPr>
          <w:trHeight w:val="245"/>
        </w:trPr>
        <w:tc>
          <w:tcPr>
            <w:tcW w:w="4670" w:type="dxa"/>
            <w:tcBorders>
              <w:left w:val="double" w:sz="4" w:space="0" w:color="auto"/>
            </w:tcBorders>
            <w:noWrap/>
            <w:tcMar>
              <w:left w:w="58" w:type="dxa"/>
              <w:right w:w="58" w:type="dxa"/>
            </w:tcMar>
            <w:vAlign w:val="center"/>
            <w:hideMark/>
          </w:tcPr>
          <w:p w14:paraId="04153696" w14:textId="77777777" w:rsidR="00E465D0" w:rsidRPr="00745B90" w:rsidRDefault="00E465D0" w:rsidP="003003C4">
            <w:pPr>
              <w:jc w:val="left"/>
              <w:rPr>
                <w:rFonts w:eastAsia="Times New Roman"/>
                <w:sz w:val="20"/>
                <w:szCs w:val="20"/>
              </w:rPr>
            </w:pPr>
            <w:r w:rsidRPr="00745B90">
              <w:rPr>
                <w:rFonts w:eastAsia="Times New Roman"/>
                <w:sz w:val="20"/>
                <w:szCs w:val="20"/>
              </w:rPr>
              <w:t>One or two</w:t>
            </w:r>
          </w:p>
        </w:tc>
        <w:tc>
          <w:tcPr>
            <w:tcW w:w="810" w:type="dxa"/>
            <w:noWrap/>
            <w:tcMar>
              <w:left w:w="58" w:type="dxa"/>
              <w:right w:w="58" w:type="dxa"/>
            </w:tcMar>
            <w:vAlign w:val="center"/>
            <w:hideMark/>
          </w:tcPr>
          <w:p w14:paraId="3CDBBA83" w14:textId="77777777" w:rsidR="00E465D0" w:rsidRPr="00745B90" w:rsidRDefault="00E465D0" w:rsidP="003003C4">
            <w:pPr>
              <w:jc w:val="right"/>
              <w:rPr>
                <w:rFonts w:eastAsia="Times New Roman"/>
                <w:sz w:val="20"/>
                <w:szCs w:val="20"/>
              </w:rPr>
            </w:pPr>
            <w:r w:rsidRPr="00745B90">
              <w:rPr>
                <w:color w:val="000000"/>
                <w:sz w:val="20"/>
                <w:szCs w:val="20"/>
              </w:rPr>
              <w:t>0.311</w:t>
            </w:r>
          </w:p>
        </w:tc>
        <w:tc>
          <w:tcPr>
            <w:tcW w:w="810" w:type="dxa"/>
            <w:noWrap/>
            <w:tcMar>
              <w:left w:w="58" w:type="dxa"/>
              <w:right w:w="58" w:type="dxa"/>
            </w:tcMar>
            <w:vAlign w:val="center"/>
            <w:hideMark/>
          </w:tcPr>
          <w:p w14:paraId="548EF8E6" w14:textId="77777777" w:rsidR="00E465D0" w:rsidRPr="00745B90" w:rsidRDefault="00E465D0" w:rsidP="003003C4">
            <w:pPr>
              <w:jc w:val="right"/>
              <w:rPr>
                <w:rFonts w:eastAsia="Times New Roman"/>
                <w:sz w:val="20"/>
                <w:szCs w:val="20"/>
              </w:rPr>
            </w:pPr>
            <w:r w:rsidRPr="00745B90">
              <w:rPr>
                <w:color w:val="000000"/>
                <w:sz w:val="20"/>
                <w:szCs w:val="20"/>
              </w:rPr>
              <w:t>3.60</w:t>
            </w:r>
          </w:p>
        </w:tc>
        <w:tc>
          <w:tcPr>
            <w:tcW w:w="810" w:type="dxa"/>
            <w:noWrap/>
            <w:tcMar>
              <w:left w:w="58" w:type="dxa"/>
              <w:right w:w="58" w:type="dxa"/>
            </w:tcMar>
            <w:vAlign w:val="center"/>
          </w:tcPr>
          <w:p w14:paraId="0BEF6A12"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tcPr>
          <w:p w14:paraId="7AC4F832"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71729730"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tcPr>
          <w:p w14:paraId="541F048C" w14:textId="77777777" w:rsidR="00E465D0" w:rsidRPr="00745B90" w:rsidRDefault="00E465D0" w:rsidP="003003C4">
            <w:pPr>
              <w:jc w:val="right"/>
              <w:rPr>
                <w:rFonts w:eastAsia="Times New Roman"/>
                <w:sz w:val="20"/>
                <w:szCs w:val="20"/>
              </w:rPr>
            </w:pPr>
          </w:p>
        </w:tc>
      </w:tr>
      <w:tr w:rsidR="00E465D0" w:rsidRPr="00745B90" w14:paraId="61E92ECB"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tcPr>
          <w:p w14:paraId="6B34C151" w14:textId="77777777" w:rsidR="00E465D0" w:rsidRPr="00745B90" w:rsidRDefault="00E465D0" w:rsidP="003003C4">
            <w:pPr>
              <w:jc w:val="left"/>
              <w:rPr>
                <w:sz w:val="20"/>
                <w:szCs w:val="20"/>
              </w:rPr>
            </w:pPr>
            <w:r w:rsidRPr="00745B90">
              <w:rPr>
                <w:rFonts w:eastAsia="Times New Roman"/>
                <w:b/>
                <w:bCs/>
                <w:i/>
                <w:iCs/>
                <w:sz w:val="20"/>
                <w:szCs w:val="20"/>
              </w:rPr>
              <w:t>Residential Characteristic</w:t>
            </w:r>
          </w:p>
        </w:tc>
      </w:tr>
      <w:tr w:rsidR="00E465D0" w:rsidRPr="00745B90" w14:paraId="425A962D"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tcPr>
          <w:p w14:paraId="49B51104" w14:textId="77777777" w:rsidR="00E465D0" w:rsidRPr="00745B90" w:rsidRDefault="00E465D0" w:rsidP="003003C4">
            <w:pPr>
              <w:jc w:val="left"/>
              <w:rPr>
                <w:rFonts w:eastAsia="Times New Roman"/>
                <w:sz w:val="20"/>
                <w:szCs w:val="20"/>
              </w:rPr>
            </w:pPr>
            <w:r w:rsidRPr="00745B90">
              <w:rPr>
                <w:rFonts w:eastAsia="Times New Roman"/>
                <w:b/>
                <w:bCs/>
                <w:sz w:val="20"/>
                <w:szCs w:val="20"/>
              </w:rPr>
              <w:t xml:space="preserve">Proximity of Residential Location </w:t>
            </w:r>
          </w:p>
        </w:tc>
      </w:tr>
      <w:tr w:rsidR="00E465D0" w:rsidRPr="00745B90" w14:paraId="04A516EE" w14:textId="77777777" w:rsidTr="003003C4">
        <w:trPr>
          <w:trHeight w:val="245"/>
        </w:trPr>
        <w:tc>
          <w:tcPr>
            <w:tcW w:w="4670" w:type="dxa"/>
            <w:tcBorders>
              <w:left w:val="double" w:sz="4" w:space="0" w:color="auto"/>
            </w:tcBorders>
            <w:noWrap/>
            <w:tcMar>
              <w:left w:w="58" w:type="dxa"/>
              <w:right w:w="58" w:type="dxa"/>
            </w:tcMar>
            <w:vAlign w:val="center"/>
          </w:tcPr>
          <w:p w14:paraId="28402061" w14:textId="77777777" w:rsidR="00E465D0" w:rsidRPr="00745B90" w:rsidRDefault="00E465D0" w:rsidP="003003C4">
            <w:pPr>
              <w:jc w:val="left"/>
              <w:rPr>
                <w:rFonts w:eastAsia="Times New Roman"/>
                <w:sz w:val="20"/>
                <w:szCs w:val="20"/>
              </w:rPr>
            </w:pPr>
            <w:r w:rsidRPr="00745B90">
              <w:rPr>
                <w:rFonts w:eastAsia="Times New Roman"/>
                <w:sz w:val="20"/>
                <w:szCs w:val="20"/>
              </w:rPr>
              <w:t>No retail stores within zip code</w:t>
            </w:r>
          </w:p>
        </w:tc>
        <w:tc>
          <w:tcPr>
            <w:tcW w:w="810" w:type="dxa"/>
            <w:noWrap/>
            <w:tcMar>
              <w:left w:w="58" w:type="dxa"/>
              <w:right w:w="58" w:type="dxa"/>
            </w:tcMar>
            <w:vAlign w:val="center"/>
          </w:tcPr>
          <w:p w14:paraId="3F26EF85" w14:textId="77777777" w:rsidR="00E465D0" w:rsidRPr="00745B90" w:rsidRDefault="00E465D0" w:rsidP="003003C4">
            <w:pPr>
              <w:jc w:val="right"/>
              <w:rPr>
                <w:b/>
                <w:bCs/>
                <w:sz w:val="20"/>
                <w:szCs w:val="20"/>
              </w:rPr>
            </w:pPr>
            <w:r w:rsidRPr="00745B90">
              <w:rPr>
                <w:b/>
                <w:bCs/>
                <w:sz w:val="20"/>
                <w:szCs w:val="20"/>
              </w:rPr>
              <w:t>--</w:t>
            </w:r>
          </w:p>
        </w:tc>
        <w:tc>
          <w:tcPr>
            <w:tcW w:w="810" w:type="dxa"/>
            <w:noWrap/>
            <w:tcMar>
              <w:left w:w="58" w:type="dxa"/>
              <w:right w:w="58" w:type="dxa"/>
            </w:tcMar>
            <w:vAlign w:val="center"/>
          </w:tcPr>
          <w:p w14:paraId="53BFA9B1" w14:textId="77777777" w:rsidR="00E465D0" w:rsidRPr="00745B90" w:rsidRDefault="00E465D0" w:rsidP="003003C4">
            <w:pPr>
              <w:jc w:val="right"/>
              <w:rPr>
                <w:sz w:val="20"/>
                <w:szCs w:val="20"/>
              </w:rPr>
            </w:pPr>
          </w:p>
        </w:tc>
        <w:tc>
          <w:tcPr>
            <w:tcW w:w="810" w:type="dxa"/>
            <w:noWrap/>
            <w:tcMar>
              <w:left w:w="58" w:type="dxa"/>
              <w:right w:w="58" w:type="dxa"/>
            </w:tcMar>
            <w:vAlign w:val="center"/>
          </w:tcPr>
          <w:p w14:paraId="7ADDC61C" w14:textId="77777777" w:rsidR="00E465D0" w:rsidRPr="00745B90" w:rsidRDefault="00E465D0" w:rsidP="003003C4">
            <w:pPr>
              <w:jc w:val="right"/>
              <w:rPr>
                <w:b/>
                <w:bCs/>
                <w:sz w:val="20"/>
                <w:szCs w:val="20"/>
              </w:rPr>
            </w:pPr>
            <w:r w:rsidRPr="00745B90">
              <w:rPr>
                <w:b/>
                <w:bCs/>
                <w:sz w:val="20"/>
                <w:szCs w:val="20"/>
              </w:rPr>
              <w:t>--</w:t>
            </w:r>
          </w:p>
        </w:tc>
        <w:tc>
          <w:tcPr>
            <w:tcW w:w="810" w:type="dxa"/>
            <w:noWrap/>
            <w:tcMar>
              <w:left w:w="58" w:type="dxa"/>
              <w:right w:w="58" w:type="dxa"/>
            </w:tcMar>
            <w:vAlign w:val="center"/>
          </w:tcPr>
          <w:p w14:paraId="29062612" w14:textId="77777777" w:rsidR="00E465D0" w:rsidRPr="00745B90" w:rsidRDefault="00E465D0" w:rsidP="003003C4">
            <w:pPr>
              <w:jc w:val="right"/>
              <w:rPr>
                <w:sz w:val="20"/>
                <w:szCs w:val="20"/>
              </w:rPr>
            </w:pPr>
          </w:p>
        </w:tc>
        <w:tc>
          <w:tcPr>
            <w:tcW w:w="774" w:type="dxa"/>
            <w:noWrap/>
            <w:tcMar>
              <w:left w:w="58" w:type="dxa"/>
              <w:right w:w="58" w:type="dxa"/>
            </w:tcMar>
            <w:vAlign w:val="center"/>
          </w:tcPr>
          <w:p w14:paraId="6BEF4ACA" w14:textId="77777777" w:rsidR="00E465D0" w:rsidRPr="00745B90" w:rsidRDefault="00E465D0" w:rsidP="003003C4">
            <w:pPr>
              <w:jc w:val="right"/>
              <w:rPr>
                <w:rFonts w:eastAsia="Times New Roman"/>
                <w:sz w:val="20"/>
                <w:szCs w:val="20"/>
              </w:rPr>
            </w:pPr>
            <w:r w:rsidRPr="00745B90">
              <w:rPr>
                <w:color w:val="000000"/>
                <w:sz w:val="20"/>
                <w:szCs w:val="20"/>
              </w:rPr>
              <w:t>-0.081</w:t>
            </w:r>
          </w:p>
        </w:tc>
        <w:tc>
          <w:tcPr>
            <w:tcW w:w="724" w:type="dxa"/>
            <w:tcBorders>
              <w:right w:val="double" w:sz="4" w:space="0" w:color="auto"/>
            </w:tcBorders>
            <w:noWrap/>
            <w:tcMar>
              <w:left w:w="58" w:type="dxa"/>
              <w:right w:w="58" w:type="dxa"/>
            </w:tcMar>
            <w:vAlign w:val="center"/>
          </w:tcPr>
          <w:p w14:paraId="561527CF" w14:textId="77777777" w:rsidR="00E465D0" w:rsidRPr="00745B90" w:rsidRDefault="00E465D0" w:rsidP="003003C4">
            <w:pPr>
              <w:jc w:val="right"/>
              <w:rPr>
                <w:rFonts w:eastAsia="Times New Roman"/>
                <w:sz w:val="20"/>
                <w:szCs w:val="20"/>
              </w:rPr>
            </w:pPr>
            <w:r w:rsidRPr="00745B90">
              <w:rPr>
                <w:color w:val="000000"/>
                <w:sz w:val="20"/>
                <w:szCs w:val="20"/>
              </w:rPr>
              <w:t>-3.88</w:t>
            </w:r>
          </w:p>
        </w:tc>
      </w:tr>
      <w:tr w:rsidR="00E465D0" w:rsidRPr="00745B90" w14:paraId="1A97F5EC"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tcPr>
          <w:p w14:paraId="4C6D5D0F"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Endogenous Effects</w:t>
            </w:r>
          </w:p>
        </w:tc>
      </w:tr>
      <w:tr w:rsidR="00E465D0" w:rsidRPr="00745B90" w14:paraId="7C6C3A53"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tcPr>
          <w:p w14:paraId="52C220AC" w14:textId="1FDD4007" w:rsidR="00E465D0" w:rsidRPr="00745B90" w:rsidRDefault="00E465D0" w:rsidP="003003C4">
            <w:pPr>
              <w:jc w:val="left"/>
              <w:rPr>
                <w:rFonts w:eastAsia="Times New Roman"/>
                <w:sz w:val="20"/>
                <w:szCs w:val="20"/>
              </w:rPr>
            </w:pPr>
            <w:r w:rsidRPr="00745B90">
              <w:rPr>
                <w:rFonts w:eastAsia="Times New Roman"/>
                <w:b/>
                <w:bCs/>
                <w:sz w:val="20"/>
                <w:szCs w:val="20"/>
              </w:rPr>
              <w:t xml:space="preserve">Frequency of Leisure Stops per </w:t>
            </w:r>
            <w:r w:rsidR="003003C4">
              <w:rPr>
                <w:rFonts w:eastAsia="Times New Roman"/>
                <w:b/>
                <w:bCs/>
                <w:sz w:val="20"/>
                <w:szCs w:val="20"/>
              </w:rPr>
              <w:t>W</w:t>
            </w:r>
            <w:r w:rsidRPr="00745B90">
              <w:rPr>
                <w:rFonts w:eastAsia="Times New Roman"/>
                <w:b/>
                <w:bCs/>
                <w:sz w:val="20"/>
                <w:szCs w:val="20"/>
              </w:rPr>
              <w:t>eek (less than 4)</w:t>
            </w:r>
          </w:p>
        </w:tc>
      </w:tr>
      <w:tr w:rsidR="00E465D0" w:rsidRPr="00745B90" w14:paraId="4761F141" w14:textId="77777777" w:rsidTr="003003C4">
        <w:trPr>
          <w:trHeight w:val="245"/>
        </w:trPr>
        <w:tc>
          <w:tcPr>
            <w:tcW w:w="4670" w:type="dxa"/>
            <w:tcBorders>
              <w:left w:val="double" w:sz="4" w:space="0" w:color="auto"/>
            </w:tcBorders>
            <w:noWrap/>
            <w:tcMar>
              <w:left w:w="58" w:type="dxa"/>
              <w:right w:w="58" w:type="dxa"/>
            </w:tcMar>
            <w:vAlign w:val="center"/>
          </w:tcPr>
          <w:p w14:paraId="5F068C2B" w14:textId="77777777" w:rsidR="00E465D0" w:rsidRPr="00745B90" w:rsidRDefault="00E465D0" w:rsidP="003003C4">
            <w:pPr>
              <w:jc w:val="left"/>
              <w:rPr>
                <w:rFonts w:eastAsia="Times New Roman"/>
                <w:sz w:val="20"/>
                <w:szCs w:val="20"/>
              </w:rPr>
            </w:pPr>
            <w:r w:rsidRPr="00745B90">
              <w:rPr>
                <w:rFonts w:eastAsia="Times New Roman"/>
                <w:sz w:val="20"/>
                <w:szCs w:val="20"/>
              </w:rPr>
              <w:t>4 or more leisure stops (specific to NT segment)</w:t>
            </w:r>
          </w:p>
        </w:tc>
        <w:tc>
          <w:tcPr>
            <w:tcW w:w="810" w:type="dxa"/>
            <w:noWrap/>
            <w:tcMar>
              <w:left w:w="58" w:type="dxa"/>
              <w:right w:w="58" w:type="dxa"/>
            </w:tcMar>
            <w:vAlign w:val="center"/>
          </w:tcPr>
          <w:p w14:paraId="193C3DF1" w14:textId="77777777" w:rsidR="00E465D0" w:rsidRPr="00745B90" w:rsidRDefault="00E465D0" w:rsidP="003003C4">
            <w:pPr>
              <w:jc w:val="right"/>
              <w:rPr>
                <w:sz w:val="20"/>
                <w:szCs w:val="20"/>
              </w:rPr>
            </w:pPr>
            <w:r w:rsidRPr="00745B90">
              <w:rPr>
                <w:color w:val="000000"/>
                <w:sz w:val="20"/>
                <w:szCs w:val="20"/>
              </w:rPr>
              <w:t>0.231</w:t>
            </w:r>
          </w:p>
        </w:tc>
        <w:tc>
          <w:tcPr>
            <w:tcW w:w="810" w:type="dxa"/>
            <w:noWrap/>
            <w:tcMar>
              <w:left w:w="58" w:type="dxa"/>
              <w:right w:w="58" w:type="dxa"/>
            </w:tcMar>
            <w:vAlign w:val="center"/>
          </w:tcPr>
          <w:p w14:paraId="372104BE" w14:textId="77777777" w:rsidR="00E465D0" w:rsidRPr="00745B90" w:rsidRDefault="00E465D0" w:rsidP="003003C4">
            <w:pPr>
              <w:jc w:val="right"/>
              <w:rPr>
                <w:sz w:val="20"/>
                <w:szCs w:val="20"/>
              </w:rPr>
            </w:pPr>
            <w:r w:rsidRPr="00745B90">
              <w:rPr>
                <w:color w:val="000000"/>
                <w:sz w:val="20"/>
                <w:szCs w:val="20"/>
              </w:rPr>
              <w:t>2.24</w:t>
            </w:r>
          </w:p>
        </w:tc>
        <w:tc>
          <w:tcPr>
            <w:tcW w:w="810" w:type="dxa"/>
            <w:noWrap/>
            <w:tcMar>
              <w:left w:w="58" w:type="dxa"/>
              <w:right w:w="58" w:type="dxa"/>
            </w:tcMar>
            <w:vAlign w:val="center"/>
          </w:tcPr>
          <w:p w14:paraId="08BFBDBA"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810" w:type="dxa"/>
            <w:noWrap/>
            <w:tcMar>
              <w:left w:w="58" w:type="dxa"/>
              <w:right w:w="58" w:type="dxa"/>
            </w:tcMar>
            <w:vAlign w:val="center"/>
          </w:tcPr>
          <w:p w14:paraId="3EDE2DBC"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6C8D62BB" w14:textId="77777777" w:rsidR="00E465D0" w:rsidRPr="00745B90" w:rsidRDefault="00E465D0" w:rsidP="003003C4">
            <w:pPr>
              <w:jc w:val="right"/>
              <w:rPr>
                <w:rFonts w:eastAsia="Times New Roman"/>
                <w:sz w:val="20"/>
                <w:szCs w:val="20"/>
              </w:rPr>
            </w:pPr>
            <w:r w:rsidRPr="00745B90">
              <w:rPr>
                <w:rFonts w:eastAsia="Times New Roman"/>
                <w:sz w:val="20"/>
                <w:szCs w:val="20"/>
              </w:rPr>
              <w:t>--</w:t>
            </w:r>
          </w:p>
        </w:tc>
        <w:tc>
          <w:tcPr>
            <w:tcW w:w="724" w:type="dxa"/>
            <w:tcBorders>
              <w:right w:val="double" w:sz="4" w:space="0" w:color="auto"/>
            </w:tcBorders>
            <w:noWrap/>
            <w:tcMar>
              <w:left w:w="58" w:type="dxa"/>
              <w:right w:w="58" w:type="dxa"/>
            </w:tcMar>
            <w:vAlign w:val="center"/>
          </w:tcPr>
          <w:p w14:paraId="07118D2F" w14:textId="77777777" w:rsidR="00E465D0" w:rsidRPr="00745B90" w:rsidRDefault="00E465D0" w:rsidP="003003C4">
            <w:pPr>
              <w:jc w:val="right"/>
              <w:rPr>
                <w:rFonts w:eastAsia="Times New Roman"/>
                <w:sz w:val="20"/>
                <w:szCs w:val="20"/>
              </w:rPr>
            </w:pPr>
          </w:p>
        </w:tc>
      </w:tr>
      <w:tr w:rsidR="00E465D0" w:rsidRPr="00745B90" w14:paraId="799B44C3" w14:textId="77777777" w:rsidTr="003003C4">
        <w:trPr>
          <w:trHeight w:val="245"/>
        </w:trPr>
        <w:tc>
          <w:tcPr>
            <w:tcW w:w="9408" w:type="dxa"/>
            <w:gridSpan w:val="7"/>
            <w:tcBorders>
              <w:left w:val="double" w:sz="4" w:space="0" w:color="auto"/>
              <w:right w:val="double" w:sz="4" w:space="0" w:color="auto"/>
            </w:tcBorders>
            <w:noWrap/>
            <w:tcMar>
              <w:left w:w="58" w:type="dxa"/>
              <w:right w:w="58" w:type="dxa"/>
            </w:tcMar>
            <w:vAlign w:val="center"/>
          </w:tcPr>
          <w:p w14:paraId="137138C3" w14:textId="77777777" w:rsidR="00E465D0" w:rsidRPr="00745B90" w:rsidRDefault="00E465D0" w:rsidP="003003C4">
            <w:pPr>
              <w:jc w:val="left"/>
              <w:rPr>
                <w:rFonts w:eastAsia="Times New Roman"/>
                <w:sz w:val="20"/>
                <w:szCs w:val="20"/>
              </w:rPr>
            </w:pPr>
            <w:r w:rsidRPr="00745B90">
              <w:rPr>
                <w:rFonts w:eastAsia="Times New Roman"/>
                <w:b/>
                <w:bCs/>
                <w:sz w:val="20"/>
                <w:szCs w:val="20"/>
              </w:rPr>
              <w:t>Telework Frequency (Maintenance: teleworks less than once or more than three times a week)</w:t>
            </w:r>
          </w:p>
        </w:tc>
      </w:tr>
      <w:tr w:rsidR="00E465D0" w:rsidRPr="00745B90" w14:paraId="0BAB7628" w14:textId="77777777" w:rsidTr="003003C4">
        <w:trPr>
          <w:trHeight w:val="245"/>
        </w:trPr>
        <w:tc>
          <w:tcPr>
            <w:tcW w:w="4670" w:type="dxa"/>
            <w:tcBorders>
              <w:left w:val="double" w:sz="4" w:space="0" w:color="auto"/>
              <w:bottom w:val="single" w:sz="4" w:space="0" w:color="auto"/>
            </w:tcBorders>
            <w:noWrap/>
            <w:tcMar>
              <w:left w:w="58" w:type="dxa"/>
              <w:right w:w="58" w:type="dxa"/>
            </w:tcMar>
            <w:vAlign w:val="center"/>
          </w:tcPr>
          <w:p w14:paraId="54A9E852" w14:textId="77777777" w:rsidR="00E465D0" w:rsidRPr="00745B90" w:rsidRDefault="00E465D0" w:rsidP="003003C4">
            <w:pPr>
              <w:jc w:val="left"/>
              <w:rPr>
                <w:rFonts w:eastAsia="Times New Roman"/>
                <w:sz w:val="20"/>
                <w:szCs w:val="20"/>
              </w:rPr>
            </w:pPr>
            <w:r w:rsidRPr="00745B90">
              <w:rPr>
                <w:rFonts w:eastAsia="Times New Roman"/>
                <w:sz w:val="20"/>
                <w:szCs w:val="20"/>
              </w:rPr>
              <w:t>Teleworks one to three days a week (specific to TN segment)</w:t>
            </w:r>
          </w:p>
        </w:tc>
        <w:tc>
          <w:tcPr>
            <w:tcW w:w="810" w:type="dxa"/>
            <w:tcBorders>
              <w:bottom w:val="single" w:sz="4" w:space="0" w:color="auto"/>
            </w:tcBorders>
            <w:noWrap/>
            <w:tcMar>
              <w:left w:w="58" w:type="dxa"/>
              <w:right w:w="58" w:type="dxa"/>
            </w:tcMar>
            <w:vAlign w:val="center"/>
          </w:tcPr>
          <w:p w14:paraId="154278D2" w14:textId="77777777" w:rsidR="00E465D0" w:rsidRPr="00745B90" w:rsidRDefault="00E465D0" w:rsidP="003003C4">
            <w:pPr>
              <w:jc w:val="right"/>
              <w:rPr>
                <w:b/>
                <w:bCs/>
                <w:sz w:val="20"/>
                <w:szCs w:val="20"/>
              </w:rPr>
            </w:pPr>
            <w:r w:rsidRPr="00745B90">
              <w:rPr>
                <w:b/>
                <w:bCs/>
                <w:sz w:val="20"/>
                <w:szCs w:val="20"/>
              </w:rPr>
              <w:t>--</w:t>
            </w:r>
          </w:p>
        </w:tc>
        <w:tc>
          <w:tcPr>
            <w:tcW w:w="810" w:type="dxa"/>
            <w:tcBorders>
              <w:bottom w:val="single" w:sz="4" w:space="0" w:color="auto"/>
            </w:tcBorders>
            <w:noWrap/>
            <w:tcMar>
              <w:left w:w="58" w:type="dxa"/>
              <w:right w:w="58" w:type="dxa"/>
            </w:tcMar>
            <w:vAlign w:val="center"/>
          </w:tcPr>
          <w:p w14:paraId="3221BA66" w14:textId="77777777" w:rsidR="00E465D0" w:rsidRPr="00745B90" w:rsidRDefault="00E465D0" w:rsidP="003003C4">
            <w:pPr>
              <w:jc w:val="right"/>
              <w:rPr>
                <w:sz w:val="20"/>
                <w:szCs w:val="20"/>
              </w:rPr>
            </w:pPr>
          </w:p>
        </w:tc>
        <w:tc>
          <w:tcPr>
            <w:tcW w:w="810" w:type="dxa"/>
            <w:tcBorders>
              <w:bottom w:val="single" w:sz="4" w:space="0" w:color="auto"/>
            </w:tcBorders>
            <w:noWrap/>
            <w:tcMar>
              <w:left w:w="58" w:type="dxa"/>
              <w:right w:w="58" w:type="dxa"/>
            </w:tcMar>
            <w:vAlign w:val="center"/>
          </w:tcPr>
          <w:p w14:paraId="52F8B80A" w14:textId="77777777" w:rsidR="00E465D0" w:rsidRPr="00745B90" w:rsidRDefault="00E465D0" w:rsidP="003003C4">
            <w:pPr>
              <w:jc w:val="right"/>
              <w:rPr>
                <w:rFonts w:eastAsia="Times New Roman"/>
                <w:sz w:val="20"/>
                <w:szCs w:val="20"/>
              </w:rPr>
            </w:pPr>
            <w:r w:rsidRPr="00745B90">
              <w:rPr>
                <w:color w:val="000000"/>
                <w:sz w:val="20"/>
                <w:szCs w:val="20"/>
              </w:rPr>
              <w:t>-0.059</w:t>
            </w:r>
          </w:p>
        </w:tc>
        <w:tc>
          <w:tcPr>
            <w:tcW w:w="810" w:type="dxa"/>
            <w:tcBorders>
              <w:bottom w:val="single" w:sz="4" w:space="0" w:color="auto"/>
            </w:tcBorders>
            <w:noWrap/>
            <w:tcMar>
              <w:left w:w="58" w:type="dxa"/>
              <w:right w:w="58" w:type="dxa"/>
            </w:tcMar>
            <w:vAlign w:val="center"/>
          </w:tcPr>
          <w:p w14:paraId="2AB9416F" w14:textId="77777777" w:rsidR="00E465D0" w:rsidRPr="00745B90" w:rsidRDefault="00E465D0" w:rsidP="003003C4">
            <w:pPr>
              <w:jc w:val="right"/>
              <w:rPr>
                <w:rFonts w:eastAsia="Times New Roman"/>
                <w:sz w:val="20"/>
                <w:szCs w:val="20"/>
              </w:rPr>
            </w:pPr>
            <w:r w:rsidRPr="00745B90">
              <w:rPr>
                <w:color w:val="000000"/>
                <w:sz w:val="20"/>
                <w:szCs w:val="20"/>
              </w:rPr>
              <w:t>-1.99</w:t>
            </w:r>
          </w:p>
        </w:tc>
        <w:tc>
          <w:tcPr>
            <w:tcW w:w="774" w:type="dxa"/>
            <w:tcBorders>
              <w:bottom w:val="single" w:sz="4" w:space="0" w:color="auto"/>
            </w:tcBorders>
            <w:noWrap/>
            <w:tcMar>
              <w:left w:w="58" w:type="dxa"/>
              <w:right w:w="58" w:type="dxa"/>
            </w:tcMar>
            <w:vAlign w:val="center"/>
          </w:tcPr>
          <w:p w14:paraId="20100516" w14:textId="77777777" w:rsidR="00E465D0" w:rsidRPr="00745B90" w:rsidRDefault="00E465D0" w:rsidP="00302827">
            <w:pPr>
              <w:jc w:val="right"/>
              <w:rPr>
                <w:rFonts w:eastAsia="Times New Roman"/>
                <w:sz w:val="20"/>
                <w:szCs w:val="20"/>
              </w:rPr>
            </w:pPr>
            <w:r w:rsidRPr="00745B90">
              <w:rPr>
                <w:rFonts w:eastAsia="Times New Roman"/>
                <w:sz w:val="20"/>
                <w:szCs w:val="20"/>
              </w:rPr>
              <w:t>--</w:t>
            </w:r>
          </w:p>
        </w:tc>
        <w:tc>
          <w:tcPr>
            <w:tcW w:w="724" w:type="dxa"/>
            <w:tcBorders>
              <w:bottom w:val="single" w:sz="4" w:space="0" w:color="auto"/>
              <w:right w:val="double" w:sz="4" w:space="0" w:color="auto"/>
            </w:tcBorders>
            <w:noWrap/>
            <w:tcMar>
              <w:left w:w="58" w:type="dxa"/>
              <w:right w:w="58" w:type="dxa"/>
            </w:tcMar>
            <w:vAlign w:val="center"/>
          </w:tcPr>
          <w:p w14:paraId="219FD497" w14:textId="77777777" w:rsidR="00E465D0" w:rsidRPr="00745B90" w:rsidRDefault="00E465D0" w:rsidP="00302827">
            <w:pPr>
              <w:jc w:val="right"/>
              <w:rPr>
                <w:rFonts w:eastAsia="Times New Roman"/>
                <w:sz w:val="20"/>
                <w:szCs w:val="20"/>
              </w:rPr>
            </w:pPr>
          </w:p>
        </w:tc>
      </w:tr>
      <w:tr w:rsidR="00E465D0" w:rsidRPr="00745B90" w14:paraId="0177491A"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tcPr>
          <w:p w14:paraId="4BE09314"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Thresholds: NT or Player Segment</w:t>
            </w:r>
          </w:p>
        </w:tc>
      </w:tr>
      <w:tr w:rsidR="00E465D0" w:rsidRPr="00745B90" w14:paraId="372D91D5" w14:textId="77777777" w:rsidTr="003003C4">
        <w:trPr>
          <w:trHeight w:val="245"/>
        </w:trPr>
        <w:tc>
          <w:tcPr>
            <w:tcW w:w="4670" w:type="dxa"/>
            <w:tcBorders>
              <w:left w:val="double" w:sz="4" w:space="0" w:color="auto"/>
            </w:tcBorders>
            <w:noWrap/>
            <w:tcMar>
              <w:left w:w="58" w:type="dxa"/>
              <w:right w:w="58" w:type="dxa"/>
            </w:tcMar>
            <w:vAlign w:val="center"/>
            <w:hideMark/>
          </w:tcPr>
          <w:p w14:paraId="583C0DF6" w14:textId="77777777" w:rsidR="00E465D0" w:rsidRPr="00745B90" w:rsidRDefault="00E465D0" w:rsidP="003003C4">
            <w:pPr>
              <w:jc w:val="left"/>
              <w:rPr>
                <w:rFonts w:eastAsia="Times New Roman"/>
                <w:sz w:val="20"/>
                <w:szCs w:val="20"/>
              </w:rPr>
            </w:pPr>
            <w:r w:rsidRPr="00745B90">
              <w:rPr>
                <w:rFonts w:eastAsia="Times New Roman"/>
                <w:sz w:val="20"/>
                <w:szCs w:val="20"/>
              </w:rPr>
              <w:t>Constant coefficient for teleworking/Gamma coefficient for nonwork stop-making</w:t>
            </w:r>
          </w:p>
        </w:tc>
        <w:tc>
          <w:tcPr>
            <w:tcW w:w="810" w:type="dxa"/>
            <w:noWrap/>
            <w:tcMar>
              <w:left w:w="58" w:type="dxa"/>
              <w:right w:w="58" w:type="dxa"/>
            </w:tcMar>
            <w:vAlign w:val="center"/>
            <w:hideMark/>
          </w:tcPr>
          <w:p w14:paraId="12F073F5" w14:textId="77777777" w:rsidR="00E465D0" w:rsidRPr="00745B90" w:rsidRDefault="00E465D0" w:rsidP="003003C4">
            <w:pPr>
              <w:jc w:val="right"/>
              <w:rPr>
                <w:rFonts w:eastAsia="Times New Roman"/>
                <w:sz w:val="20"/>
                <w:szCs w:val="20"/>
              </w:rPr>
            </w:pPr>
            <w:r w:rsidRPr="00745B90">
              <w:rPr>
                <w:color w:val="000000"/>
                <w:sz w:val="20"/>
                <w:szCs w:val="20"/>
              </w:rPr>
              <w:t>0.593</w:t>
            </w:r>
          </w:p>
        </w:tc>
        <w:tc>
          <w:tcPr>
            <w:tcW w:w="810" w:type="dxa"/>
            <w:noWrap/>
            <w:tcMar>
              <w:left w:w="58" w:type="dxa"/>
              <w:right w:w="58" w:type="dxa"/>
            </w:tcMar>
            <w:vAlign w:val="center"/>
            <w:hideMark/>
          </w:tcPr>
          <w:p w14:paraId="2D9D37ED" w14:textId="77777777" w:rsidR="00E465D0" w:rsidRPr="00745B90" w:rsidRDefault="00E465D0" w:rsidP="003003C4">
            <w:pPr>
              <w:jc w:val="right"/>
              <w:rPr>
                <w:rFonts w:eastAsia="Times New Roman"/>
                <w:sz w:val="20"/>
                <w:szCs w:val="20"/>
              </w:rPr>
            </w:pPr>
            <w:r w:rsidRPr="00745B90">
              <w:rPr>
                <w:color w:val="000000"/>
                <w:sz w:val="20"/>
                <w:szCs w:val="20"/>
              </w:rPr>
              <w:t>5.02</w:t>
            </w:r>
          </w:p>
        </w:tc>
        <w:tc>
          <w:tcPr>
            <w:tcW w:w="810" w:type="dxa"/>
            <w:noWrap/>
            <w:tcMar>
              <w:left w:w="58" w:type="dxa"/>
              <w:right w:w="58" w:type="dxa"/>
            </w:tcMar>
            <w:vAlign w:val="center"/>
            <w:hideMark/>
          </w:tcPr>
          <w:p w14:paraId="0377423D" w14:textId="77777777" w:rsidR="00E465D0" w:rsidRPr="00745B90" w:rsidRDefault="00E465D0" w:rsidP="003003C4">
            <w:pPr>
              <w:jc w:val="right"/>
              <w:rPr>
                <w:rFonts w:eastAsia="Times New Roman"/>
                <w:sz w:val="20"/>
                <w:szCs w:val="20"/>
              </w:rPr>
            </w:pPr>
            <w:r w:rsidRPr="00745B90">
              <w:rPr>
                <w:color w:val="000000"/>
                <w:sz w:val="20"/>
                <w:szCs w:val="20"/>
              </w:rPr>
              <w:t>3.190</w:t>
            </w:r>
          </w:p>
        </w:tc>
        <w:tc>
          <w:tcPr>
            <w:tcW w:w="810" w:type="dxa"/>
            <w:noWrap/>
            <w:tcMar>
              <w:left w:w="58" w:type="dxa"/>
              <w:right w:w="58" w:type="dxa"/>
            </w:tcMar>
            <w:vAlign w:val="center"/>
            <w:hideMark/>
          </w:tcPr>
          <w:p w14:paraId="1134C80C" w14:textId="77777777" w:rsidR="00E465D0" w:rsidRPr="00745B90" w:rsidRDefault="00E465D0" w:rsidP="003003C4">
            <w:pPr>
              <w:jc w:val="right"/>
              <w:rPr>
                <w:rFonts w:eastAsia="Times New Roman"/>
                <w:sz w:val="20"/>
                <w:szCs w:val="20"/>
              </w:rPr>
            </w:pPr>
            <w:r w:rsidRPr="00745B90">
              <w:rPr>
                <w:color w:val="000000"/>
                <w:sz w:val="20"/>
                <w:szCs w:val="20"/>
              </w:rPr>
              <w:t>28.77</w:t>
            </w:r>
          </w:p>
        </w:tc>
        <w:tc>
          <w:tcPr>
            <w:tcW w:w="774" w:type="dxa"/>
            <w:noWrap/>
            <w:tcMar>
              <w:left w:w="58" w:type="dxa"/>
              <w:right w:w="58" w:type="dxa"/>
            </w:tcMar>
            <w:vAlign w:val="center"/>
            <w:hideMark/>
          </w:tcPr>
          <w:p w14:paraId="30EB3C71" w14:textId="77777777" w:rsidR="00E465D0" w:rsidRPr="00745B90" w:rsidRDefault="00E465D0" w:rsidP="003003C4">
            <w:pPr>
              <w:jc w:val="right"/>
              <w:rPr>
                <w:rFonts w:eastAsia="Times New Roman"/>
                <w:sz w:val="20"/>
                <w:szCs w:val="20"/>
              </w:rPr>
            </w:pPr>
            <w:r w:rsidRPr="00745B90">
              <w:rPr>
                <w:color w:val="000000"/>
                <w:sz w:val="20"/>
                <w:szCs w:val="20"/>
              </w:rPr>
              <w:t>2.960</w:t>
            </w:r>
          </w:p>
        </w:tc>
        <w:tc>
          <w:tcPr>
            <w:tcW w:w="724" w:type="dxa"/>
            <w:tcBorders>
              <w:right w:val="double" w:sz="4" w:space="0" w:color="auto"/>
            </w:tcBorders>
            <w:noWrap/>
            <w:tcMar>
              <w:left w:w="58" w:type="dxa"/>
              <w:right w:w="58" w:type="dxa"/>
            </w:tcMar>
            <w:vAlign w:val="center"/>
            <w:hideMark/>
          </w:tcPr>
          <w:p w14:paraId="4B7A8AD9" w14:textId="77777777" w:rsidR="00E465D0" w:rsidRPr="00745B90" w:rsidRDefault="00E465D0" w:rsidP="003003C4">
            <w:pPr>
              <w:jc w:val="right"/>
              <w:rPr>
                <w:rFonts w:eastAsia="Times New Roman"/>
                <w:sz w:val="20"/>
                <w:szCs w:val="20"/>
              </w:rPr>
            </w:pPr>
            <w:r w:rsidRPr="00745B90">
              <w:rPr>
                <w:color w:val="000000"/>
                <w:sz w:val="20"/>
                <w:szCs w:val="20"/>
              </w:rPr>
              <w:t>17.46</w:t>
            </w:r>
          </w:p>
        </w:tc>
      </w:tr>
      <w:tr w:rsidR="00E465D0" w:rsidRPr="00745B90" w14:paraId="4F65CA30" w14:textId="77777777" w:rsidTr="003003C4">
        <w:trPr>
          <w:trHeight w:val="245"/>
        </w:trPr>
        <w:tc>
          <w:tcPr>
            <w:tcW w:w="4670" w:type="dxa"/>
            <w:tcBorders>
              <w:left w:val="double" w:sz="4" w:space="0" w:color="auto"/>
            </w:tcBorders>
            <w:noWrap/>
            <w:tcMar>
              <w:left w:w="58" w:type="dxa"/>
              <w:right w:w="58" w:type="dxa"/>
            </w:tcMar>
            <w:vAlign w:val="center"/>
            <w:hideMark/>
          </w:tcPr>
          <w:p w14:paraId="6A405A8A" w14:textId="77777777" w:rsidR="00E465D0" w:rsidRPr="00745B90" w:rsidRDefault="00E465D0" w:rsidP="003003C4">
            <w:pPr>
              <w:jc w:val="left"/>
              <w:rPr>
                <w:rFonts w:eastAsia="Times New Roman"/>
                <w:sz w:val="20"/>
                <w:szCs w:val="20"/>
              </w:rPr>
            </w:pPr>
            <w:r w:rsidRPr="00745B90">
              <w:rPr>
                <w:rFonts w:eastAsia="Times New Roman"/>
                <w:sz w:val="20"/>
                <w:szCs w:val="20"/>
              </w:rPr>
              <w:t>Threshold 2</w:t>
            </w:r>
          </w:p>
        </w:tc>
        <w:tc>
          <w:tcPr>
            <w:tcW w:w="810" w:type="dxa"/>
            <w:noWrap/>
            <w:tcMar>
              <w:left w:w="58" w:type="dxa"/>
              <w:right w:w="58" w:type="dxa"/>
            </w:tcMar>
            <w:vAlign w:val="center"/>
            <w:hideMark/>
          </w:tcPr>
          <w:p w14:paraId="41DE48E2" w14:textId="77777777" w:rsidR="00E465D0" w:rsidRPr="00745B90" w:rsidRDefault="00E465D0" w:rsidP="003003C4">
            <w:pPr>
              <w:jc w:val="right"/>
              <w:rPr>
                <w:rFonts w:eastAsia="Times New Roman"/>
                <w:sz w:val="20"/>
                <w:szCs w:val="20"/>
              </w:rPr>
            </w:pPr>
            <w:r w:rsidRPr="00745B90">
              <w:rPr>
                <w:color w:val="000000"/>
                <w:sz w:val="20"/>
                <w:szCs w:val="20"/>
              </w:rPr>
              <w:t>0.811</w:t>
            </w:r>
          </w:p>
        </w:tc>
        <w:tc>
          <w:tcPr>
            <w:tcW w:w="810" w:type="dxa"/>
            <w:noWrap/>
            <w:tcMar>
              <w:left w:w="58" w:type="dxa"/>
              <w:right w:w="58" w:type="dxa"/>
            </w:tcMar>
            <w:vAlign w:val="center"/>
            <w:hideMark/>
          </w:tcPr>
          <w:p w14:paraId="079EDD66" w14:textId="77777777" w:rsidR="00E465D0" w:rsidRPr="00745B90" w:rsidRDefault="00E465D0" w:rsidP="003003C4">
            <w:pPr>
              <w:jc w:val="right"/>
              <w:rPr>
                <w:rFonts w:eastAsia="Times New Roman"/>
                <w:sz w:val="20"/>
                <w:szCs w:val="20"/>
              </w:rPr>
            </w:pPr>
            <w:r w:rsidRPr="00745B90">
              <w:rPr>
                <w:color w:val="000000"/>
                <w:sz w:val="20"/>
                <w:szCs w:val="20"/>
              </w:rPr>
              <w:t>6.84</w:t>
            </w:r>
          </w:p>
        </w:tc>
        <w:tc>
          <w:tcPr>
            <w:tcW w:w="810" w:type="dxa"/>
            <w:noWrap/>
            <w:tcMar>
              <w:left w:w="58" w:type="dxa"/>
              <w:right w:w="58" w:type="dxa"/>
            </w:tcMar>
            <w:vAlign w:val="center"/>
          </w:tcPr>
          <w:p w14:paraId="74A0369E"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415C3DD0"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0ABC3C7E"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72695EC6" w14:textId="77777777" w:rsidR="00E465D0" w:rsidRPr="00745B90" w:rsidRDefault="00E465D0" w:rsidP="003003C4">
            <w:pPr>
              <w:jc w:val="right"/>
              <w:rPr>
                <w:rFonts w:eastAsia="Times New Roman"/>
                <w:sz w:val="20"/>
                <w:szCs w:val="20"/>
              </w:rPr>
            </w:pPr>
          </w:p>
        </w:tc>
      </w:tr>
      <w:tr w:rsidR="00E465D0" w:rsidRPr="00745B90" w14:paraId="26CB222A" w14:textId="77777777" w:rsidTr="003003C4">
        <w:trPr>
          <w:trHeight w:val="245"/>
        </w:trPr>
        <w:tc>
          <w:tcPr>
            <w:tcW w:w="4670" w:type="dxa"/>
            <w:tcBorders>
              <w:left w:val="double" w:sz="4" w:space="0" w:color="auto"/>
            </w:tcBorders>
            <w:noWrap/>
            <w:tcMar>
              <w:left w:w="58" w:type="dxa"/>
              <w:right w:w="58" w:type="dxa"/>
            </w:tcMar>
            <w:vAlign w:val="center"/>
            <w:hideMark/>
          </w:tcPr>
          <w:p w14:paraId="0F0A81CF" w14:textId="77777777" w:rsidR="00E465D0" w:rsidRPr="00745B90" w:rsidRDefault="00E465D0" w:rsidP="003003C4">
            <w:pPr>
              <w:jc w:val="left"/>
              <w:rPr>
                <w:rFonts w:eastAsia="Times New Roman"/>
                <w:sz w:val="20"/>
                <w:szCs w:val="20"/>
              </w:rPr>
            </w:pPr>
            <w:r w:rsidRPr="00745B90">
              <w:rPr>
                <w:rFonts w:eastAsia="Times New Roman"/>
                <w:sz w:val="20"/>
                <w:szCs w:val="20"/>
              </w:rPr>
              <w:t>Threshold 3</w:t>
            </w:r>
          </w:p>
        </w:tc>
        <w:tc>
          <w:tcPr>
            <w:tcW w:w="810" w:type="dxa"/>
            <w:noWrap/>
            <w:tcMar>
              <w:left w:w="58" w:type="dxa"/>
              <w:right w:w="58" w:type="dxa"/>
            </w:tcMar>
            <w:vAlign w:val="center"/>
            <w:hideMark/>
          </w:tcPr>
          <w:p w14:paraId="2122AB08" w14:textId="77777777" w:rsidR="00E465D0" w:rsidRPr="00745B90" w:rsidRDefault="00E465D0" w:rsidP="003003C4">
            <w:pPr>
              <w:jc w:val="right"/>
              <w:rPr>
                <w:rFonts w:eastAsia="Times New Roman"/>
                <w:sz w:val="20"/>
                <w:szCs w:val="20"/>
              </w:rPr>
            </w:pPr>
            <w:r w:rsidRPr="00745B90">
              <w:rPr>
                <w:color w:val="000000"/>
                <w:sz w:val="20"/>
                <w:szCs w:val="20"/>
              </w:rPr>
              <w:t>0.966</w:t>
            </w:r>
          </w:p>
        </w:tc>
        <w:tc>
          <w:tcPr>
            <w:tcW w:w="810" w:type="dxa"/>
            <w:noWrap/>
            <w:tcMar>
              <w:left w:w="58" w:type="dxa"/>
              <w:right w:w="58" w:type="dxa"/>
            </w:tcMar>
            <w:vAlign w:val="center"/>
            <w:hideMark/>
          </w:tcPr>
          <w:p w14:paraId="4A081AA9" w14:textId="77777777" w:rsidR="00E465D0" w:rsidRPr="00745B90" w:rsidRDefault="00E465D0" w:rsidP="003003C4">
            <w:pPr>
              <w:jc w:val="right"/>
              <w:rPr>
                <w:rFonts w:eastAsia="Times New Roman"/>
                <w:sz w:val="20"/>
                <w:szCs w:val="20"/>
              </w:rPr>
            </w:pPr>
            <w:r w:rsidRPr="00745B90">
              <w:rPr>
                <w:color w:val="000000"/>
                <w:sz w:val="20"/>
                <w:szCs w:val="20"/>
              </w:rPr>
              <w:t>8.10</w:t>
            </w:r>
          </w:p>
        </w:tc>
        <w:tc>
          <w:tcPr>
            <w:tcW w:w="810" w:type="dxa"/>
            <w:noWrap/>
            <w:tcMar>
              <w:left w:w="58" w:type="dxa"/>
              <w:right w:w="58" w:type="dxa"/>
            </w:tcMar>
            <w:vAlign w:val="center"/>
            <w:hideMark/>
          </w:tcPr>
          <w:p w14:paraId="33F3AD8C"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hideMark/>
          </w:tcPr>
          <w:p w14:paraId="265599C5"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hideMark/>
          </w:tcPr>
          <w:p w14:paraId="3CF8E01A"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hideMark/>
          </w:tcPr>
          <w:p w14:paraId="32BA0E80" w14:textId="77777777" w:rsidR="00E465D0" w:rsidRPr="00745B90" w:rsidRDefault="00E465D0" w:rsidP="003003C4">
            <w:pPr>
              <w:jc w:val="right"/>
              <w:rPr>
                <w:rFonts w:eastAsia="Times New Roman"/>
                <w:sz w:val="20"/>
                <w:szCs w:val="20"/>
              </w:rPr>
            </w:pPr>
          </w:p>
        </w:tc>
      </w:tr>
      <w:tr w:rsidR="00E465D0" w:rsidRPr="00745B90" w14:paraId="136972B9" w14:textId="77777777" w:rsidTr="003003C4">
        <w:trPr>
          <w:trHeight w:val="245"/>
        </w:trPr>
        <w:tc>
          <w:tcPr>
            <w:tcW w:w="4670" w:type="dxa"/>
            <w:tcBorders>
              <w:left w:val="double" w:sz="4" w:space="0" w:color="auto"/>
            </w:tcBorders>
            <w:noWrap/>
            <w:tcMar>
              <w:left w:w="58" w:type="dxa"/>
              <w:right w:w="58" w:type="dxa"/>
            </w:tcMar>
            <w:vAlign w:val="center"/>
            <w:hideMark/>
          </w:tcPr>
          <w:p w14:paraId="59EA5AAE" w14:textId="77777777" w:rsidR="00E465D0" w:rsidRPr="00745B90" w:rsidRDefault="00E465D0" w:rsidP="003003C4">
            <w:pPr>
              <w:jc w:val="left"/>
              <w:rPr>
                <w:rFonts w:eastAsia="Times New Roman"/>
                <w:sz w:val="20"/>
                <w:szCs w:val="20"/>
              </w:rPr>
            </w:pPr>
            <w:r w:rsidRPr="00745B90">
              <w:rPr>
                <w:rFonts w:eastAsia="Times New Roman"/>
                <w:sz w:val="20"/>
                <w:szCs w:val="20"/>
              </w:rPr>
              <w:t>Threshold 4</w:t>
            </w:r>
          </w:p>
        </w:tc>
        <w:tc>
          <w:tcPr>
            <w:tcW w:w="810" w:type="dxa"/>
            <w:noWrap/>
            <w:tcMar>
              <w:left w:w="58" w:type="dxa"/>
              <w:right w:w="58" w:type="dxa"/>
            </w:tcMar>
            <w:vAlign w:val="center"/>
            <w:hideMark/>
          </w:tcPr>
          <w:p w14:paraId="0EA5B29C" w14:textId="77777777" w:rsidR="00E465D0" w:rsidRPr="00745B90" w:rsidRDefault="00E465D0" w:rsidP="003003C4">
            <w:pPr>
              <w:jc w:val="right"/>
              <w:rPr>
                <w:rFonts w:eastAsia="Times New Roman"/>
                <w:sz w:val="20"/>
                <w:szCs w:val="20"/>
              </w:rPr>
            </w:pPr>
            <w:r w:rsidRPr="00745B90">
              <w:rPr>
                <w:color w:val="000000"/>
                <w:sz w:val="20"/>
                <w:szCs w:val="20"/>
              </w:rPr>
              <w:t>1.102</w:t>
            </w:r>
          </w:p>
        </w:tc>
        <w:tc>
          <w:tcPr>
            <w:tcW w:w="810" w:type="dxa"/>
            <w:noWrap/>
            <w:tcMar>
              <w:left w:w="58" w:type="dxa"/>
              <w:right w:w="58" w:type="dxa"/>
            </w:tcMar>
            <w:vAlign w:val="center"/>
            <w:hideMark/>
          </w:tcPr>
          <w:p w14:paraId="05C1C5A5" w14:textId="77777777" w:rsidR="00E465D0" w:rsidRPr="00745B90" w:rsidRDefault="00E465D0" w:rsidP="003003C4">
            <w:pPr>
              <w:jc w:val="right"/>
              <w:rPr>
                <w:rFonts w:eastAsia="Times New Roman"/>
                <w:sz w:val="20"/>
                <w:szCs w:val="20"/>
              </w:rPr>
            </w:pPr>
            <w:r w:rsidRPr="00745B90">
              <w:rPr>
                <w:color w:val="000000"/>
                <w:sz w:val="20"/>
                <w:szCs w:val="20"/>
              </w:rPr>
              <w:t>9.19</w:t>
            </w:r>
          </w:p>
        </w:tc>
        <w:tc>
          <w:tcPr>
            <w:tcW w:w="810" w:type="dxa"/>
            <w:noWrap/>
            <w:tcMar>
              <w:left w:w="58" w:type="dxa"/>
              <w:right w:w="58" w:type="dxa"/>
            </w:tcMar>
            <w:vAlign w:val="center"/>
            <w:hideMark/>
          </w:tcPr>
          <w:p w14:paraId="75C7FC8A"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hideMark/>
          </w:tcPr>
          <w:p w14:paraId="143043C7"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hideMark/>
          </w:tcPr>
          <w:p w14:paraId="1AA4F6B2"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hideMark/>
          </w:tcPr>
          <w:p w14:paraId="4598D67E" w14:textId="77777777" w:rsidR="00E465D0" w:rsidRPr="00745B90" w:rsidRDefault="00E465D0" w:rsidP="003003C4">
            <w:pPr>
              <w:jc w:val="right"/>
              <w:rPr>
                <w:rFonts w:eastAsia="Times New Roman"/>
                <w:sz w:val="20"/>
                <w:szCs w:val="20"/>
              </w:rPr>
            </w:pPr>
          </w:p>
        </w:tc>
      </w:tr>
      <w:tr w:rsidR="00E465D0" w:rsidRPr="00745B90" w14:paraId="2B2F22C4" w14:textId="77777777" w:rsidTr="003003C4">
        <w:trPr>
          <w:trHeight w:val="245"/>
        </w:trPr>
        <w:tc>
          <w:tcPr>
            <w:tcW w:w="4670" w:type="dxa"/>
            <w:tcBorders>
              <w:left w:val="double" w:sz="4" w:space="0" w:color="auto"/>
            </w:tcBorders>
            <w:noWrap/>
            <w:tcMar>
              <w:left w:w="58" w:type="dxa"/>
              <w:right w:w="58" w:type="dxa"/>
            </w:tcMar>
            <w:vAlign w:val="center"/>
            <w:hideMark/>
          </w:tcPr>
          <w:p w14:paraId="4F62D99B" w14:textId="77777777" w:rsidR="00E465D0" w:rsidRPr="00745B90" w:rsidRDefault="00E465D0" w:rsidP="003003C4">
            <w:pPr>
              <w:jc w:val="left"/>
              <w:rPr>
                <w:rFonts w:eastAsia="Times New Roman"/>
                <w:sz w:val="20"/>
                <w:szCs w:val="20"/>
              </w:rPr>
            </w:pPr>
            <w:r w:rsidRPr="00745B90">
              <w:rPr>
                <w:rFonts w:eastAsia="Times New Roman"/>
                <w:sz w:val="20"/>
                <w:szCs w:val="20"/>
              </w:rPr>
              <w:t>Threshold 5</w:t>
            </w:r>
          </w:p>
        </w:tc>
        <w:tc>
          <w:tcPr>
            <w:tcW w:w="810" w:type="dxa"/>
            <w:noWrap/>
            <w:tcMar>
              <w:left w:w="58" w:type="dxa"/>
              <w:right w:w="58" w:type="dxa"/>
            </w:tcMar>
            <w:vAlign w:val="center"/>
            <w:hideMark/>
          </w:tcPr>
          <w:p w14:paraId="1E42E434" w14:textId="77777777" w:rsidR="00E465D0" w:rsidRPr="00745B90" w:rsidRDefault="00E465D0" w:rsidP="003003C4">
            <w:pPr>
              <w:jc w:val="right"/>
              <w:rPr>
                <w:rFonts w:eastAsia="Times New Roman"/>
                <w:sz w:val="20"/>
                <w:szCs w:val="20"/>
              </w:rPr>
            </w:pPr>
            <w:r w:rsidRPr="00745B90">
              <w:rPr>
                <w:color w:val="000000"/>
                <w:sz w:val="20"/>
                <w:szCs w:val="20"/>
              </w:rPr>
              <w:t>1.521</w:t>
            </w:r>
          </w:p>
        </w:tc>
        <w:tc>
          <w:tcPr>
            <w:tcW w:w="810" w:type="dxa"/>
            <w:noWrap/>
            <w:tcMar>
              <w:left w:w="58" w:type="dxa"/>
              <w:right w:w="58" w:type="dxa"/>
            </w:tcMar>
            <w:vAlign w:val="center"/>
            <w:hideMark/>
          </w:tcPr>
          <w:p w14:paraId="07397104" w14:textId="77777777" w:rsidR="00E465D0" w:rsidRPr="00745B90" w:rsidRDefault="00E465D0" w:rsidP="003003C4">
            <w:pPr>
              <w:jc w:val="right"/>
              <w:rPr>
                <w:rFonts w:eastAsia="Times New Roman"/>
                <w:sz w:val="20"/>
                <w:szCs w:val="20"/>
              </w:rPr>
            </w:pPr>
            <w:r w:rsidRPr="00745B90">
              <w:rPr>
                <w:color w:val="000000"/>
                <w:sz w:val="20"/>
                <w:szCs w:val="20"/>
              </w:rPr>
              <w:t>12.51</w:t>
            </w:r>
          </w:p>
        </w:tc>
        <w:tc>
          <w:tcPr>
            <w:tcW w:w="810" w:type="dxa"/>
            <w:noWrap/>
            <w:tcMar>
              <w:left w:w="58" w:type="dxa"/>
              <w:right w:w="58" w:type="dxa"/>
            </w:tcMar>
            <w:vAlign w:val="center"/>
            <w:hideMark/>
          </w:tcPr>
          <w:p w14:paraId="41B15CED"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hideMark/>
          </w:tcPr>
          <w:p w14:paraId="4C46CBF6"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hideMark/>
          </w:tcPr>
          <w:p w14:paraId="530B6A5E"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hideMark/>
          </w:tcPr>
          <w:p w14:paraId="77FC755B" w14:textId="77777777" w:rsidR="00E465D0" w:rsidRPr="00745B90" w:rsidRDefault="00E465D0" w:rsidP="003003C4">
            <w:pPr>
              <w:jc w:val="right"/>
              <w:rPr>
                <w:rFonts w:eastAsia="Times New Roman"/>
                <w:sz w:val="20"/>
                <w:szCs w:val="20"/>
              </w:rPr>
            </w:pPr>
          </w:p>
        </w:tc>
      </w:tr>
      <w:tr w:rsidR="00E465D0" w:rsidRPr="00745B90" w14:paraId="79679344" w14:textId="77777777" w:rsidTr="003003C4">
        <w:trPr>
          <w:trHeight w:val="245"/>
        </w:trPr>
        <w:tc>
          <w:tcPr>
            <w:tcW w:w="4670" w:type="dxa"/>
            <w:tcBorders>
              <w:left w:val="double" w:sz="4" w:space="0" w:color="auto"/>
              <w:bottom w:val="double" w:sz="4" w:space="0" w:color="auto"/>
            </w:tcBorders>
            <w:noWrap/>
            <w:tcMar>
              <w:left w:w="58" w:type="dxa"/>
              <w:right w:w="58" w:type="dxa"/>
            </w:tcMar>
            <w:vAlign w:val="center"/>
            <w:hideMark/>
          </w:tcPr>
          <w:p w14:paraId="4A5572AC" w14:textId="77777777" w:rsidR="00E465D0" w:rsidRPr="00745B90" w:rsidRDefault="00E465D0" w:rsidP="003003C4">
            <w:pPr>
              <w:jc w:val="left"/>
              <w:rPr>
                <w:rFonts w:eastAsia="Times New Roman"/>
                <w:sz w:val="20"/>
                <w:szCs w:val="20"/>
              </w:rPr>
            </w:pPr>
            <w:r w:rsidRPr="00745B90">
              <w:rPr>
                <w:rFonts w:eastAsia="Times New Roman"/>
                <w:sz w:val="20"/>
                <w:szCs w:val="20"/>
              </w:rPr>
              <w:t>Threshold 6</w:t>
            </w:r>
          </w:p>
        </w:tc>
        <w:tc>
          <w:tcPr>
            <w:tcW w:w="810" w:type="dxa"/>
            <w:tcBorders>
              <w:bottom w:val="double" w:sz="4" w:space="0" w:color="auto"/>
            </w:tcBorders>
            <w:noWrap/>
            <w:tcMar>
              <w:left w:w="58" w:type="dxa"/>
              <w:right w:w="58" w:type="dxa"/>
            </w:tcMar>
            <w:vAlign w:val="center"/>
            <w:hideMark/>
          </w:tcPr>
          <w:p w14:paraId="4B1D1689" w14:textId="77777777" w:rsidR="00E465D0" w:rsidRPr="00745B90" w:rsidRDefault="00E465D0" w:rsidP="003003C4">
            <w:pPr>
              <w:jc w:val="right"/>
              <w:rPr>
                <w:rFonts w:eastAsia="Times New Roman"/>
                <w:sz w:val="20"/>
                <w:szCs w:val="20"/>
              </w:rPr>
            </w:pPr>
            <w:r w:rsidRPr="00745B90">
              <w:rPr>
                <w:color w:val="000000"/>
                <w:sz w:val="20"/>
                <w:szCs w:val="20"/>
              </w:rPr>
              <w:t>1.807</w:t>
            </w:r>
          </w:p>
        </w:tc>
        <w:tc>
          <w:tcPr>
            <w:tcW w:w="810" w:type="dxa"/>
            <w:tcBorders>
              <w:bottom w:val="double" w:sz="4" w:space="0" w:color="auto"/>
            </w:tcBorders>
            <w:noWrap/>
            <w:tcMar>
              <w:left w:w="58" w:type="dxa"/>
              <w:right w:w="58" w:type="dxa"/>
            </w:tcMar>
            <w:vAlign w:val="center"/>
            <w:hideMark/>
          </w:tcPr>
          <w:p w14:paraId="35F66EBF" w14:textId="77777777" w:rsidR="00E465D0" w:rsidRPr="00745B90" w:rsidRDefault="00E465D0" w:rsidP="003003C4">
            <w:pPr>
              <w:jc w:val="right"/>
              <w:rPr>
                <w:rFonts w:eastAsia="Times New Roman"/>
                <w:sz w:val="20"/>
                <w:szCs w:val="20"/>
              </w:rPr>
            </w:pPr>
            <w:r w:rsidRPr="00745B90">
              <w:rPr>
                <w:color w:val="000000"/>
                <w:sz w:val="20"/>
                <w:szCs w:val="20"/>
              </w:rPr>
              <w:t>14.64</w:t>
            </w:r>
          </w:p>
        </w:tc>
        <w:tc>
          <w:tcPr>
            <w:tcW w:w="810" w:type="dxa"/>
            <w:tcBorders>
              <w:bottom w:val="double" w:sz="4" w:space="0" w:color="auto"/>
            </w:tcBorders>
            <w:noWrap/>
            <w:tcMar>
              <w:left w:w="58" w:type="dxa"/>
              <w:right w:w="58" w:type="dxa"/>
            </w:tcMar>
            <w:vAlign w:val="center"/>
            <w:hideMark/>
          </w:tcPr>
          <w:p w14:paraId="4A035B38"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tcBorders>
              <w:bottom w:val="double" w:sz="4" w:space="0" w:color="auto"/>
            </w:tcBorders>
            <w:noWrap/>
            <w:tcMar>
              <w:left w:w="58" w:type="dxa"/>
              <w:right w:w="58" w:type="dxa"/>
            </w:tcMar>
            <w:vAlign w:val="center"/>
            <w:hideMark/>
          </w:tcPr>
          <w:p w14:paraId="7DCF5845" w14:textId="77777777" w:rsidR="00E465D0" w:rsidRPr="00745B90" w:rsidRDefault="00E465D0" w:rsidP="003003C4">
            <w:pPr>
              <w:jc w:val="right"/>
              <w:rPr>
                <w:rFonts w:eastAsia="Times New Roman"/>
                <w:sz w:val="20"/>
                <w:szCs w:val="20"/>
              </w:rPr>
            </w:pPr>
          </w:p>
        </w:tc>
        <w:tc>
          <w:tcPr>
            <w:tcW w:w="774" w:type="dxa"/>
            <w:tcBorders>
              <w:bottom w:val="double" w:sz="4" w:space="0" w:color="auto"/>
            </w:tcBorders>
            <w:noWrap/>
            <w:tcMar>
              <w:left w:w="58" w:type="dxa"/>
              <w:right w:w="58" w:type="dxa"/>
            </w:tcMar>
            <w:vAlign w:val="center"/>
            <w:hideMark/>
          </w:tcPr>
          <w:p w14:paraId="167A429C"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hideMark/>
          </w:tcPr>
          <w:p w14:paraId="6B5A11BE" w14:textId="77777777" w:rsidR="00E465D0" w:rsidRPr="00745B90" w:rsidRDefault="00E465D0" w:rsidP="003003C4">
            <w:pPr>
              <w:jc w:val="right"/>
              <w:rPr>
                <w:rFonts w:eastAsia="Times New Roman"/>
                <w:sz w:val="20"/>
                <w:szCs w:val="20"/>
              </w:rPr>
            </w:pPr>
          </w:p>
        </w:tc>
      </w:tr>
      <w:tr w:rsidR="00E465D0" w:rsidRPr="00745B90" w14:paraId="59A3FBE4"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hideMark/>
          </w:tcPr>
          <w:p w14:paraId="1589919D"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Thresholds: TN or Worker Segment</w:t>
            </w:r>
          </w:p>
        </w:tc>
      </w:tr>
      <w:tr w:rsidR="00E465D0" w:rsidRPr="00745B90" w14:paraId="4897551A" w14:textId="77777777" w:rsidTr="003003C4">
        <w:trPr>
          <w:trHeight w:val="245"/>
        </w:trPr>
        <w:tc>
          <w:tcPr>
            <w:tcW w:w="4670" w:type="dxa"/>
            <w:tcBorders>
              <w:left w:val="double" w:sz="4" w:space="0" w:color="auto"/>
            </w:tcBorders>
            <w:noWrap/>
            <w:tcMar>
              <w:left w:w="58" w:type="dxa"/>
              <w:right w:w="58" w:type="dxa"/>
            </w:tcMar>
            <w:vAlign w:val="center"/>
          </w:tcPr>
          <w:p w14:paraId="03033B17" w14:textId="77777777" w:rsidR="00E465D0" w:rsidRPr="00745B90" w:rsidRDefault="00E465D0" w:rsidP="003003C4">
            <w:pPr>
              <w:jc w:val="left"/>
              <w:rPr>
                <w:rFonts w:eastAsia="Times New Roman"/>
                <w:sz w:val="20"/>
                <w:szCs w:val="20"/>
              </w:rPr>
            </w:pPr>
            <w:r w:rsidRPr="00745B90">
              <w:rPr>
                <w:rFonts w:eastAsia="Times New Roman"/>
                <w:sz w:val="20"/>
                <w:szCs w:val="20"/>
              </w:rPr>
              <w:t>Constant coefficient for teleworking/Gamma coefficient for nonwork stop-making</w:t>
            </w:r>
          </w:p>
        </w:tc>
        <w:tc>
          <w:tcPr>
            <w:tcW w:w="810" w:type="dxa"/>
            <w:noWrap/>
            <w:tcMar>
              <w:left w:w="58" w:type="dxa"/>
              <w:right w:w="58" w:type="dxa"/>
            </w:tcMar>
            <w:vAlign w:val="center"/>
          </w:tcPr>
          <w:p w14:paraId="2DFE8BFE" w14:textId="77777777" w:rsidR="00E465D0" w:rsidRPr="00745B90" w:rsidRDefault="00E465D0" w:rsidP="003003C4">
            <w:pPr>
              <w:jc w:val="right"/>
              <w:rPr>
                <w:rFonts w:eastAsia="Times New Roman"/>
                <w:sz w:val="20"/>
                <w:szCs w:val="20"/>
              </w:rPr>
            </w:pPr>
            <w:r w:rsidRPr="00745B90">
              <w:rPr>
                <w:color w:val="000000"/>
                <w:sz w:val="20"/>
                <w:szCs w:val="20"/>
              </w:rPr>
              <w:t>0.404</w:t>
            </w:r>
          </w:p>
        </w:tc>
        <w:tc>
          <w:tcPr>
            <w:tcW w:w="810" w:type="dxa"/>
            <w:noWrap/>
            <w:tcMar>
              <w:left w:w="58" w:type="dxa"/>
              <w:right w:w="58" w:type="dxa"/>
            </w:tcMar>
            <w:vAlign w:val="center"/>
          </w:tcPr>
          <w:p w14:paraId="194D5051" w14:textId="77777777" w:rsidR="00E465D0" w:rsidRPr="00745B90" w:rsidRDefault="00E465D0" w:rsidP="003003C4">
            <w:pPr>
              <w:jc w:val="right"/>
              <w:rPr>
                <w:rFonts w:eastAsia="Times New Roman"/>
                <w:sz w:val="20"/>
                <w:szCs w:val="20"/>
              </w:rPr>
            </w:pPr>
            <w:r w:rsidRPr="00745B90">
              <w:rPr>
                <w:color w:val="000000"/>
                <w:sz w:val="20"/>
                <w:szCs w:val="20"/>
              </w:rPr>
              <w:t>3.35</w:t>
            </w:r>
          </w:p>
        </w:tc>
        <w:tc>
          <w:tcPr>
            <w:tcW w:w="810" w:type="dxa"/>
            <w:noWrap/>
            <w:tcMar>
              <w:left w:w="58" w:type="dxa"/>
              <w:right w:w="58" w:type="dxa"/>
            </w:tcMar>
            <w:vAlign w:val="center"/>
          </w:tcPr>
          <w:p w14:paraId="460EF104" w14:textId="77777777" w:rsidR="00E465D0" w:rsidRPr="00745B90" w:rsidRDefault="00E465D0" w:rsidP="003003C4">
            <w:pPr>
              <w:jc w:val="right"/>
              <w:rPr>
                <w:rFonts w:eastAsia="Times New Roman"/>
                <w:sz w:val="20"/>
                <w:szCs w:val="20"/>
              </w:rPr>
            </w:pPr>
            <w:r w:rsidRPr="00745B90">
              <w:rPr>
                <w:color w:val="000000"/>
                <w:sz w:val="20"/>
                <w:szCs w:val="20"/>
              </w:rPr>
              <w:t>3.390</w:t>
            </w:r>
          </w:p>
        </w:tc>
        <w:tc>
          <w:tcPr>
            <w:tcW w:w="810" w:type="dxa"/>
            <w:noWrap/>
            <w:tcMar>
              <w:left w:w="58" w:type="dxa"/>
              <w:right w:w="58" w:type="dxa"/>
            </w:tcMar>
            <w:vAlign w:val="center"/>
          </w:tcPr>
          <w:p w14:paraId="46410C21" w14:textId="77777777" w:rsidR="00E465D0" w:rsidRPr="00745B90" w:rsidRDefault="00E465D0" w:rsidP="003003C4">
            <w:pPr>
              <w:jc w:val="right"/>
              <w:rPr>
                <w:rFonts w:eastAsia="Times New Roman"/>
                <w:sz w:val="20"/>
                <w:szCs w:val="20"/>
              </w:rPr>
            </w:pPr>
            <w:r w:rsidRPr="00745B90">
              <w:rPr>
                <w:color w:val="000000"/>
                <w:sz w:val="20"/>
                <w:szCs w:val="20"/>
              </w:rPr>
              <w:t>23.24</w:t>
            </w:r>
          </w:p>
        </w:tc>
        <w:tc>
          <w:tcPr>
            <w:tcW w:w="774" w:type="dxa"/>
            <w:noWrap/>
            <w:tcMar>
              <w:left w:w="58" w:type="dxa"/>
              <w:right w:w="58" w:type="dxa"/>
            </w:tcMar>
            <w:vAlign w:val="center"/>
          </w:tcPr>
          <w:p w14:paraId="487B3A7C" w14:textId="77777777" w:rsidR="00E465D0" w:rsidRPr="00745B90" w:rsidRDefault="00E465D0" w:rsidP="003003C4">
            <w:pPr>
              <w:jc w:val="right"/>
              <w:rPr>
                <w:rFonts w:eastAsia="Times New Roman"/>
                <w:sz w:val="20"/>
                <w:szCs w:val="20"/>
              </w:rPr>
            </w:pPr>
            <w:r w:rsidRPr="00745B90">
              <w:rPr>
                <w:color w:val="000000"/>
                <w:sz w:val="20"/>
                <w:szCs w:val="20"/>
              </w:rPr>
              <w:t>2.730</w:t>
            </w:r>
          </w:p>
        </w:tc>
        <w:tc>
          <w:tcPr>
            <w:tcW w:w="724" w:type="dxa"/>
            <w:tcBorders>
              <w:right w:val="double" w:sz="4" w:space="0" w:color="auto"/>
            </w:tcBorders>
            <w:noWrap/>
            <w:tcMar>
              <w:left w:w="58" w:type="dxa"/>
              <w:right w:w="58" w:type="dxa"/>
            </w:tcMar>
            <w:vAlign w:val="center"/>
          </w:tcPr>
          <w:p w14:paraId="3A7F817C" w14:textId="77777777" w:rsidR="00E465D0" w:rsidRPr="00745B90" w:rsidRDefault="00E465D0" w:rsidP="003003C4">
            <w:pPr>
              <w:jc w:val="right"/>
              <w:rPr>
                <w:rFonts w:eastAsia="Times New Roman"/>
                <w:sz w:val="20"/>
                <w:szCs w:val="20"/>
              </w:rPr>
            </w:pPr>
            <w:r w:rsidRPr="00745B90">
              <w:rPr>
                <w:color w:val="000000"/>
                <w:sz w:val="20"/>
                <w:szCs w:val="20"/>
              </w:rPr>
              <w:t>8.35</w:t>
            </w:r>
          </w:p>
        </w:tc>
      </w:tr>
      <w:tr w:rsidR="00E465D0" w:rsidRPr="00745B90" w14:paraId="50C66F51" w14:textId="77777777" w:rsidTr="003003C4">
        <w:trPr>
          <w:trHeight w:val="245"/>
        </w:trPr>
        <w:tc>
          <w:tcPr>
            <w:tcW w:w="4670" w:type="dxa"/>
            <w:tcBorders>
              <w:left w:val="double" w:sz="4" w:space="0" w:color="auto"/>
            </w:tcBorders>
            <w:noWrap/>
            <w:tcMar>
              <w:left w:w="58" w:type="dxa"/>
              <w:right w:w="58" w:type="dxa"/>
            </w:tcMar>
            <w:vAlign w:val="center"/>
          </w:tcPr>
          <w:p w14:paraId="70A8A53A" w14:textId="77777777" w:rsidR="00E465D0" w:rsidRPr="00745B90" w:rsidRDefault="00E465D0" w:rsidP="003003C4">
            <w:pPr>
              <w:jc w:val="left"/>
              <w:rPr>
                <w:rFonts w:eastAsia="Times New Roman"/>
                <w:sz w:val="20"/>
                <w:szCs w:val="20"/>
              </w:rPr>
            </w:pPr>
            <w:r w:rsidRPr="00745B90">
              <w:rPr>
                <w:rFonts w:eastAsia="Times New Roman"/>
                <w:sz w:val="20"/>
                <w:szCs w:val="20"/>
              </w:rPr>
              <w:t>Threshold 2</w:t>
            </w:r>
          </w:p>
        </w:tc>
        <w:tc>
          <w:tcPr>
            <w:tcW w:w="810" w:type="dxa"/>
            <w:noWrap/>
            <w:tcMar>
              <w:left w:w="58" w:type="dxa"/>
              <w:right w:w="58" w:type="dxa"/>
            </w:tcMar>
            <w:vAlign w:val="center"/>
          </w:tcPr>
          <w:p w14:paraId="10D799A9" w14:textId="77777777" w:rsidR="00E465D0" w:rsidRPr="00745B90" w:rsidRDefault="00E465D0" w:rsidP="003003C4">
            <w:pPr>
              <w:jc w:val="right"/>
              <w:rPr>
                <w:rFonts w:eastAsia="Times New Roman"/>
                <w:sz w:val="20"/>
                <w:szCs w:val="20"/>
              </w:rPr>
            </w:pPr>
            <w:r w:rsidRPr="00745B90">
              <w:rPr>
                <w:color w:val="000000"/>
                <w:sz w:val="20"/>
                <w:szCs w:val="20"/>
              </w:rPr>
              <w:t>0.574</w:t>
            </w:r>
          </w:p>
        </w:tc>
        <w:tc>
          <w:tcPr>
            <w:tcW w:w="810" w:type="dxa"/>
            <w:noWrap/>
            <w:tcMar>
              <w:left w:w="58" w:type="dxa"/>
              <w:right w:w="58" w:type="dxa"/>
            </w:tcMar>
            <w:vAlign w:val="center"/>
          </w:tcPr>
          <w:p w14:paraId="3A2E97FA" w14:textId="77777777" w:rsidR="00E465D0" w:rsidRPr="00745B90" w:rsidRDefault="00E465D0" w:rsidP="003003C4">
            <w:pPr>
              <w:jc w:val="right"/>
              <w:rPr>
                <w:rFonts w:eastAsia="Times New Roman"/>
                <w:sz w:val="20"/>
                <w:szCs w:val="20"/>
              </w:rPr>
            </w:pPr>
            <w:r w:rsidRPr="00745B90">
              <w:rPr>
                <w:color w:val="000000"/>
                <w:sz w:val="20"/>
                <w:szCs w:val="20"/>
              </w:rPr>
              <w:t>4.78</w:t>
            </w:r>
          </w:p>
        </w:tc>
        <w:tc>
          <w:tcPr>
            <w:tcW w:w="810" w:type="dxa"/>
            <w:noWrap/>
            <w:tcMar>
              <w:left w:w="58" w:type="dxa"/>
              <w:right w:w="58" w:type="dxa"/>
            </w:tcMar>
            <w:vAlign w:val="center"/>
          </w:tcPr>
          <w:p w14:paraId="28891269"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2D940FA7"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2429346A"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5BCC8991" w14:textId="77777777" w:rsidR="00E465D0" w:rsidRPr="00745B90" w:rsidRDefault="00E465D0" w:rsidP="003003C4">
            <w:pPr>
              <w:jc w:val="right"/>
              <w:rPr>
                <w:rFonts w:eastAsia="Times New Roman"/>
                <w:sz w:val="20"/>
                <w:szCs w:val="20"/>
              </w:rPr>
            </w:pPr>
          </w:p>
        </w:tc>
      </w:tr>
      <w:tr w:rsidR="00E465D0" w:rsidRPr="00745B90" w14:paraId="62CDA79B" w14:textId="77777777" w:rsidTr="003003C4">
        <w:trPr>
          <w:trHeight w:val="245"/>
        </w:trPr>
        <w:tc>
          <w:tcPr>
            <w:tcW w:w="4670" w:type="dxa"/>
            <w:tcBorders>
              <w:left w:val="double" w:sz="4" w:space="0" w:color="auto"/>
            </w:tcBorders>
            <w:noWrap/>
            <w:tcMar>
              <w:left w:w="58" w:type="dxa"/>
              <w:right w:w="58" w:type="dxa"/>
            </w:tcMar>
            <w:vAlign w:val="center"/>
          </w:tcPr>
          <w:p w14:paraId="67A968FD" w14:textId="77777777" w:rsidR="00E465D0" w:rsidRPr="00745B90" w:rsidRDefault="00E465D0" w:rsidP="003003C4">
            <w:pPr>
              <w:jc w:val="left"/>
              <w:rPr>
                <w:rFonts w:eastAsia="Times New Roman"/>
                <w:sz w:val="20"/>
                <w:szCs w:val="20"/>
              </w:rPr>
            </w:pPr>
            <w:r w:rsidRPr="00745B90">
              <w:rPr>
                <w:rFonts w:eastAsia="Times New Roman"/>
                <w:sz w:val="20"/>
                <w:szCs w:val="20"/>
              </w:rPr>
              <w:t>Threshold 3</w:t>
            </w:r>
          </w:p>
        </w:tc>
        <w:tc>
          <w:tcPr>
            <w:tcW w:w="810" w:type="dxa"/>
            <w:noWrap/>
            <w:tcMar>
              <w:left w:w="58" w:type="dxa"/>
              <w:right w:w="58" w:type="dxa"/>
            </w:tcMar>
            <w:vAlign w:val="center"/>
          </w:tcPr>
          <w:p w14:paraId="692DA7B2" w14:textId="77777777" w:rsidR="00E465D0" w:rsidRPr="00745B90" w:rsidRDefault="00E465D0" w:rsidP="003003C4">
            <w:pPr>
              <w:jc w:val="right"/>
              <w:rPr>
                <w:rFonts w:eastAsia="Times New Roman"/>
                <w:sz w:val="20"/>
                <w:szCs w:val="20"/>
              </w:rPr>
            </w:pPr>
            <w:r w:rsidRPr="00745B90">
              <w:rPr>
                <w:color w:val="000000"/>
                <w:sz w:val="20"/>
                <w:szCs w:val="20"/>
              </w:rPr>
              <w:t>0.793</w:t>
            </w:r>
          </w:p>
        </w:tc>
        <w:tc>
          <w:tcPr>
            <w:tcW w:w="810" w:type="dxa"/>
            <w:noWrap/>
            <w:tcMar>
              <w:left w:w="58" w:type="dxa"/>
              <w:right w:w="58" w:type="dxa"/>
            </w:tcMar>
            <w:vAlign w:val="center"/>
          </w:tcPr>
          <w:p w14:paraId="17874630" w14:textId="77777777" w:rsidR="00E465D0" w:rsidRPr="00745B90" w:rsidRDefault="00E465D0" w:rsidP="003003C4">
            <w:pPr>
              <w:jc w:val="right"/>
              <w:rPr>
                <w:rFonts w:eastAsia="Times New Roman"/>
                <w:sz w:val="20"/>
                <w:szCs w:val="20"/>
              </w:rPr>
            </w:pPr>
            <w:r w:rsidRPr="00745B90">
              <w:rPr>
                <w:color w:val="000000"/>
                <w:sz w:val="20"/>
                <w:szCs w:val="20"/>
              </w:rPr>
              <w:t>6.58</w:t>
            </w:r>
          </w:p>
        </w:tc>
        <w:tc>
          <w:tcPr>
            <w:tcW w:w="810" w:type="dxa"/>
            <w:noWrap/>
            <w:tcMar>
              <w:left w:w="58" w:type="dxa"/>
              <w:right w:w="58" w:type="dxa"/>
            </w:tcMar>
            <w:vAlign w:val="center"/>
          </w:tcPr>
          <w:p w14:paraId="3B9C4FD7"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76AFD1FB"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52177315"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68A6D1DB" w14:textId="77777777" w:rsidR="00E465D0" w:rsidRPr="00745B90" w:rsidRDefault="00E465D0" w:rsidP="003003C4">
            <w:pPr>
              <w:jc w:val="right"/>
              <w:rPr>
                <w:rFonts w:eastAsia="Times New Roman"/>
                <w:sz w:val="20"/>
                <w:szCs w:val="20"/>
              </w:rPr>
            </w:pPr>
          </w:p>
        </w:tc>
      </w:tr>
      <w:tr w:rsidR="00E465D0" w:rsidRPr="00745B90" w14:paraId="310DE59C" w14:textId="77777777" w:rsidTr="003003C4">
        <w:trPr>
          <w:trHeight w:val="245"/>
        </w:trPr>
        <w:tc>
          <w:tcPr>
            <w:tcW w:w="4670" w:type="dxa"/>
            <w:tcBorders>
              <w:left w:val="double" w:sz="4" w:space="0" w:color="auto"/>
            </w:tcBorders>
            <w:noWrap/>
            <w:tcMar>
              <w:left w:w="58" w:type="dxa"/>
              <w:right w:w="58" w:type="dxa"/>
            </w:tcMar>
            <w:vAlign w:val="center"/>
          </w:tcPr>
          <w:p w14:paraId="06A3D87A" w14:textId="77777777" w:rsidR="00E465D0" w:rsidRPr="00745B90" w:rsidRDefault="00E465D0" w:rsidP="003003C4">
            <w:pPr>
              <w:jc w:val="left"/>
              <w:rPr>
                <w:rFonts w:eastAsia="Times New Roman"/>
                <w:sz w:val="20"/>
                <w:szCs w:val="20"/>
              </w:rPr>
            </w:pPr>
            <w:r w:rsidRPr="00745B90">
              <w:rPr>
                <w:rFonts w:eastAsia="Times New Roman"/>
                <w:sz w:val="20"/>
                <w:szCs w:val="20"/>
              </w:rPr>
              <w:t>Threshold 4</w:t>
            </w:r>
          </w:p>
        </w:tc>
        <w:tc>
          <w:tcPr>
            <w:tcW w:w="810" w:type="dxa"/>
            <w:noWrap/>
            <w:tcMar>
              <w:left w:w="58" w:type="dxa"/>
              <w:right w:w="58" w:type="dxa"/>
            </w:tcMar>
            <w:vAlign w:val="center"/>
          </w:tcPr>
          <w:p w14:paraId="56B47AC3" w14:textId="77777777" w:rsidR="00E465D0" w:rsidRPr="00745B90" w:rsidRDefault="00E465D0" w:rsidP="003003C4">
            <w:pPr>
              <w:jc w:val="right"/>
              <w:rPr>
                <w:rFonts w:eastAsia="Times New Roman"/>
                <w:sz w:val="20"/>
                <w:szCs w:val="20"/>
              </w:rPr>
            </w:pPr>
            <w:r w:rsidRPr="00745B90">
              <w:rPr>
                <w:color w:val="000000"/>
                <w:sz w:val="20"/>
                <w:szCs w:val="20"/>
              </w:rPr>
              <w:t>0.953</w:t>
            </w:r>
          </w:p>
        </w:tc>
        <w:tc>
          <w:tcPr>
            <w:tcW w:w="810" w:type="dxa"/>
            <w:noWrap/>
            <w:tcMar>
              <w:left w:w="58" w:type="dxa"/>
              <w:right w:w="58" w:type="dxa"/>
            </w:tcMar>
            <w:vAlign w:val="center"/>
          </w:tcPr>
          <w:p w14:paraId="64D67EC1" w14:textId="77777777" w:rsidR="00E465D0" w:rsidRPr="00745B90" w:rsidRDefault="00E465D0" w:rsidP="003003C4">
            <w:pPr>
              <w:jc w:val="right"/>
              <w:rPr>
                <w:rFonts w:eastAsia="Times New Roman"/>
                <w:sz w:val="20"/>
                <w:szCs w:val="20"/>
              </w:rPr>
            </w:pPr>
            <w:r w:rsidRPr="00745B90">
              <w:rPr>
                <w:color w:val="000000"/>
                <w:sz w:val="20"/>
                <w:szCs w:val="20"/>
              </w:rPr>
              <w:t>7.87</w:t>
            </w:r>
          </w:p>
        </w:tc>
        <w:tc>
          <w:tcPr>
            <w:tcW w:w="810" w:type="dxa"/>
            <w:noWrap/>
            <w:tcMar>
              <w:left w:w="58" w:type="dxa"/>
              <w:right w:w="58" w:type="dxa"/>
            </w:tcMar>
            <w:vAlign w:val="center"/>
          </w:tcPr>
          <w:p w14:paraId="13C98BE1"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36080171"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6C2C298F"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75434729" w14:textId="77777777" w:rsidR="00E465D0" w:rsidRPr="00745B90" w:rsidRDefault="00E465D0" w:rsidP="003003C4">
            <w:pPr>
              <w:jc w:val="right"/>
              <w:rPr>
                <w:rFonts w:eastAsia="Times New Roman"/>
                <w:sz w:val="20"/>
                <w:szCs w:val="20"/>
              </w:rPr>
            </w:pPr>
          </w:p>
        </w:tc>
      </w:tr>
      <w:tr w:rsidR="00E465D0" w:rsidRPr="00745B90" w14:paraId="19C43A8F" w14:textId="77777777" w:rsidTr="003003C4">
        <w:trPr>
          <w:trHeight w:val="245"/>
        </w:trPr>
        <w:tc>
          <w:tcPr>
            <w:tcW w:w="4670" w:type="dxa"/>
            <w:tcBorders>
              <w:left w:val="double" w:sz="4" w:space="0" w:color="auto"/>
            </w:tcBorders>
            <w:noWrap/>
            <w:tcMar>
              <w:left w:w="58" w:type="dxa"/>
              <w:right w:w="58" w:type="dxa"/>
            </w:tcMar>
            <w:vAlign w:val="center"/>
          </w:tcPr>
          <w:p w14:paraId="7D2E52EE" w14:textId="77777777" w:rsidR="00E465D0" w:rsidRPr="00745B90" w:rsidRDefault="00E465D0" w:rsidP="003003C4">
            <w:pPr>
              <w:jc w:val="left"/>
              <w:rPr>
                <w:rFonts w:eastAsia="Times New Roman"/>
                <w:sz w:val="20"/>
                <w:szCs w:val="20"/>
              </w:rPr>
            </w:pPr>
            <w:r w:rsidRPr="00745B90">
              <w:rPr>
                <w:rFonts w:eastAsia="Times New Roman"/>
                <w:sz w:val="20"/>
                <w:szCs w:val="20"/>
              </w:rPr>
              <w:t>Threshold 5</w:t>
            </w:r>
          </w:p>
        </w:tc>
        <w:tc>
          <w:tcPr>
            <w:tcW w:w="810" w:type="dxa"/>
            <w:noWrap/>
            <w:tcMar>
              <w:left w:w="58" w:type="dxa"/>
              <w:right w:w="58" w:type="dxa"/>
            </w:tcMar>
            <w:vAlign w:val="center"/>
          </w:tcPr>
          <w:p w14:paraId="75307CAD" w14:textId="77777777" w:rsidR="00E465D0" w:rsidRPr="00745B90" w:rsidRDefault="00E465D0" w:rsidP="003003C4">
            <w:pPr>
              <w:jc w:val="right"/>
              <w:rPr>
                <w:rFonts w:eastAsia="Times New Roman"/>
                <w:sz w:val="20"/>
                <w:szCs w:val="20"/>
              </w:rPr>
            </w:pPr>
            <w:r w:rsidRPr="00745B90">
              <w:rPr>
                <w:color w:val="000000"/>
                <w:sz w:val="20"/>
                <w:szCs w:val="20"/>
              </w:rPr>
              <w:t>1.363</w:t>
            </w:r>
          </w:p>
        </w:tc>
        <w:tc>
          <w:tcPr>
            <w:tcW w:w="810" w:type="dxa"/>
            <w:noWrap/>
            <w:tcMar>
              <w:left w:w="58" w:type="dxa"/>
              <w:right w:w="58" w:type="dxa"/>
            </w:tcMar>
            <w:vAlign w:val="center"/>
          </w:tcPr>
          <w:p w14:paraId="602C01BD" w14:textId="77777777" w:rsidR="00E465D0" w:rsidRPr="00745B90" w:rsidRDefault="00E465D0" w:rsidP="003003C4">
            <w:pPr>
              <w:jc w:val="right"/>
              <w:rPr>
                <w:rFonts w:eastAsia="Times New Roman"/>
                <w:sz w:val="20"/>
                <w:szCs w:val="20"/>
              </w:rPr>
            </w:pPr>
            <w:r w:rsidRPr="00745B90">
              <w:rPr>
                <w:color w:val="000000"/>
                <w:sz w:val="20"/>
                <w:szCs w:val="20"/>
              </w:rPr>
              <w:t>11.07</w:t>
            </w:r>
          </w:p>
        </w:tc>
        <w:tc>
          <w:tcPr>
            <w:tcW w:w="810" w:type="dxa"/>
            <w:noWrap/>
            <w:tcMar>
              <w:left w:w="58" w:type="dxa"/>
              <w:right w:w="58" w:type="dxa"/>
            </w:tcMar>
            <w:vAlign w:val="center"/>
          </w:tcPr>
          <w:p w14:paraId="134BAA78"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58D78C44" w14:textId="77777777" w:rsidR="00E465D0" w:rsidRPr="00745B90" w:rsidRDefault="00E465D0" w:rsidP="003003C4">
            <w:pPr>
              <w:jc w:val="right"/>
              <w:rPr>
                <w:rFonts w:eastAsia="Times New Roman"/>
                <w:sz w:val="20"/>
                <w:szCs w:val="20"/>
              </w:rPr>
            </w:pPr>
          </w:p>
        </w:tc>
        <w:tc>
          <w:tcPr>
            <w:tcW w:w="774" w:type="dxa"/>
            <w:noWrap/>
            <w:tcMar>
              <w:left w:w="58" w:type="dxa"/>
              <w:right w:w="58" w:type="dxa"/>
            </w:tcMar>
            <w:vAlign w:val="center"/>
          </w:tcPr>
          <w:p w14:paraId="602D0244"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39BCC451" w14:textId="77777777" w:rsidR="00E465D0" w:rsidRPr="00745B90" w:rsidRDefault="00E465D0" w:rsidP="003003C4">
            <w:pPr>
              <w:jc w:val="right"/>
              <w:rPr>
                <w:rFonts w:eastAsia="Times New Roman"/>
                <w:sz w:val="20"/>
                <w:szCs w:val="20"/>
              </w:rPr>
            </w:pPr>
          </w:p>
        </w:tc>
      </w:tr>
      <w:tr w:rsidR="00E465D0" w:rsidRPr="00745B90" w14:paraId="2BFE226F" w14:textId="77777777" w:rsidTr="003003C4">
        <w:trPr>
          <w:trHeight w:val="245"/>
        </w:trPr>
        <w:tc>
          <w:tcPr>
            <w:tcW w:w="4670" w:type="dxa"/>
            <w:tcBorders>
              <w:left w:val="double" w:sz="4" w:space="0" w:color="auto"/>
              <w:bottom w:val="double" w:sz="4" w:space="0" w:color="auto"/>
            </w:tcBorders>
            <w:noWrap/>
            <w:tcMar>
              <w:left w:w="58" w:type="dxa"/>
              <w:right w:w="58" w:type="dxa"/>
            </w:tcMar>
            <w:vAlign w:val="center"/>
          </w:tcPr>
          <w:p w14:paraId="18073F57" w14:textId="77777777" w:rsidR="00E465D0" w:rsidRPr="00745B90" w:rsidRDefault="00E465D0" w:rsidP="003003C4">
            <w:pPr>
              <w:jc w:val="left"/>
              <w:rPr>
                <w:rFonts w:eastAsia="Times New Roman"/>
                <w:sz w:val="20"/>
                <w:szCs w:val="20"/>
              </w:rPr>
            </w:pPr>
            <w:r w:rsidRPr="00745B90">
              <w:rPr>
                <w:rFonts w:eastAsia="Times New Roman"/>
                <w:sz w:val="20"/>
                <w:szCs w:val="20"/>
              </w:rPr>
              <w:t>Threshold 6</w:t>
            </w:r>
          </w:p>
        </w:tc>
        <w:tc>
          <w:tcPr>
            <w:tcW w:w="810" w:type="dxa"/>
            <w:tcBorders>
              <w:bottom w:val="double" w:sz="4" w:space="0" w:color="auto"/>
            </w:tcBorders>
            <w:noWrap/>
            <w:tcMar>
              <w:left w:w="58" w:type="dxa"/>
              <w:right w:w="58" w:type="dxa"/>
            </w:tcMar>
            <w:vAlign w:val="center"/>
          </w:tcPr>
          <w:p w14:paraId="6915B9B4" w14:textId="77777777" w:rsidR="00E465D0" w:rsidRPr="00745B90" w:rsidRDefault="00E465D0" w:rsidP="003003C4">
            <w:pPr>
              <w:jc w:val="right"/>
              <w:rPr>
                <w:rFonts w:eastAsia="Times New Roman"/>
                <w:sz w:val="20"/>
                <w:szCs w:val="20"/>
              </w:rPr>
            </w:pPr>
            <w:r w:rsidRPr="00745B90">
              <w:rPr>
                <w:color w:val="000000"/>
                <w:sz w:val="20"/>
                <w:szCs w:val="20"/>
              </w:rPr>
              <w:t>1.691</w:t>
            </w:r>
          </w:p>
        </w:tc>
        <w:tc>
          <w:tcPr>
            <w:tcW w:w="810" w:type="dxa"/>
            <w:tcBorders>
              <w:bottom w:val="double" w:sz="4" w:space="0" w:color="auto"/>
            </w:tcBorders>
            <w:noWrap/>
            <w:tcMar>
              <w:left w:w="58" w:type="dxa"/>
              <w:right w:w="58" w:type="dxa"/>
            </w:tcMar>
            <w:vAlign w:val="center"/>
          </w:tcPr>
          <w:p w14:paraId="01822B13" w14:textId="77777777" w:rsidR="00E465D0" w:rsidRPr="00745B90" w:rsidRDefault="00E465D0" w:rsidP="003003C4">
            <w:pPr>
              <w:jc w:val="right"/>
              <w:rPr>
                <w:rFonts w:eastAsia="Times New Roman"/>
                <w:sz w:val="20"/>
                <w:szCs w:val="20"/>
              </w:rPr>
            </w:pPr>
            <w:r w:rsidRPr="00745B90">
              <w:rPr>
                <w:color w:val="000000"/>
                <w:sz w:val="20"/>
                <w:szCs w:val="20"/>
              </w:rPr>
              <w:t>13.33</w:t>
            </w:r>
          </w:p>
        </w:tc>
        <w:tc>
          <w:tcPr>
            <w:tcW w:w="810" w:type="dxa"/>
            <w:tcBorders>
              <w:bottom w:val="double" w:sz="4" w:space="0" w:color="auto"/>
            </w:tcBorders>
            <w:noWrap/>
            <w:tcMar>
              <w:left w:w="58" w:type="dxa"/>
              <w:right w:w="58" w:type="dxa"/>
            </w:tcMar>
            <w:vAlign w:val="center"/>
          </w:tcPr>
          <w:p w14:paraId="79BB34F7"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tcBorders>
              <w:bottom w:val="double" w:sz="4" w:space="0" w:color="auto"/>
            </w:tcBorders>
            <w:noWrap/>
            <w:tcMar>
              <w:left w:w="58" w:type="dxa"/>
              <w:right w:w="58" w:type="dxa"/>
            </w:tcMar>
            <w:vAlign w:val="center"/>
          </w:tcPr>
          <w:p w14:paraId="1DEBE95C" w14:textId="77777777" w:rsidR="00E465D0" w:rsidRPr="00745B90" w:rsidRDefault="00E465D0" w:rsidP="003003C4">
            <w:pPr>
              <w:jc w:val="right"/>
              <w:rPr>
                <w:rFonts w:eastAsia="Times New Roman"/>
                <w:sz w:val="20"/>
                <w:szCs w:val="20"/>
              </w:rPr>
            </w:pPr>
          </w:p>
        </w:tc>
        <w:tc>
          <w:tcPr>
            <w:tcW w:w="774" w:type="dxa"/>
            <w:tcBorders>
              <w:bottom w:val="double" w:sz="4" w:space="0" w:color="auto"/>
            </w:tcBorders>
            <w:noWrap/>
            <w:tcMar>
              <w:left w:w="58" w:type="dxa"/>
              <w:right w:w="58" w:type="dxa"/>
            </w:tcMar>
            <w:vAlign w:val="center"/>
          </w:tcPr>
          <w:p w14:paraId="7E643693"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724" w:type="dxa"/>
            <w:tcBorders>
              <w:right w:val="double" w:sz="4" w:space="0" w:color="auto"/>
            </w:tcBorders>
            <w:noWrap/>
            <w:tcMar>
              <w:left w:w="58" w:type="dxa"/>
              <w:right w:w="58" w:type="dxa"/>
            </w:tcMar>
            <w:vAlign w:val="center"/>
          </w:tcPr>
          <w:p w14:paraId="658EA288" w14:textId="77777777" w:rsidR="00E465D0" w:rsidRPr="00745B90" w:rsidRDefault="00E465D0" w:rsidP="003003C4">
            <w:pPr>
              <w:jc w:val="right"/>
              <w:rPr>
                <w:rFonts w:eastAsia="Times New Roman"/>
                <w:sz w:val="20"/>
                <w:szCs w:val="20"/>
              </w:rPr>
            </w:pPr>
          </w:p>
        </w:tc>
      </w:tr>
      <w:tr w:rsidR="00E465D0" w:rsidRPr="00745B90" w14:paraId="5B6C8B18"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tcPr>
          <w:p w14:paraId="4F7BCCCC"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lastRenderedPageBreak/>
              <w:t>Threshold Shifters for NT or Player Segment</w:t>
            </w:r>
          </w:p>
        </w:tc>
      </w:tr>
      <w:tr w:rsidR="00E465D0" w:rsidRPr="00745B90" w14:paraId="6CA470E9" w14:textId="77777777" w:rsidTr="003003C4">
        <w:trPr>
          <w:trHeight w:val="245"/>
        </w:trPr>
        <w:tc>
          <w:tcPr>
            <w:tcW w:w="4670" w:type="dxa"/>
            <w:tcBorders>
              <w:left w:val="double" w:sz="4" w:space="0" w:color="auto"/>
              <w:bottom w:val="double" w:sz="4" w:space="0" w:color="auto"/>
            </w:tcBorders>
            <w:noWrap/>
            <w:tcMar>
              <w:left w:w="58" w:type="dxa"/>
              <w:right w:w="58" w:type="dxa"/>
            </w:tcMar>
            <w:vAlign w:val="center"/>
          </w:tcPr>
          <w:p w14:paraId="6E210184" w14:textId="77777777" w:rsidR="00E465D0" w:rsidRPr="00745B90" w:rsidRDefault="00E465D0" w:rsidP="003003C4">
            <w:pPr>
              <w:jc w:val="left"/>
              <w:rPr>
                <w:rFonts w:eastAsia="Times New Roman"/>
                <w:sz w:val="20"/>
                <w:szCs w:val="20"/>
              </w:rPr>
            </w:pPr>
            <w:r w:rsidRPr="00745B90">
              <w:rPr>
                <w:rFonts w:eastAsia="Times New Roman"/>
                <w:sz w:val="20"/>
                <w:szCs w:val="20"/>
              </w:rPr>
              <w:t>0|1</w:t>
            </w:r>
          </w:p>
        </w:tc>
        <w:tc>
          <w:tcPr>
            <w:tcW w:w="810" w:type="dxa"/>
            <w:tcBorders>
              <w:bottom w:val="double" w:sz="4" w:space="0" w:color="auto"/>
            </w:tcBorders>
            <w:noWrap/>
            <w:tcMar>
              <w:left w:w="58" w:type="dxa"/>
              <w:right w:w="58" w:type="dxa"/>
            </w:tcMar>
            <w:vAlign w:val="center"/>
          </w:tcPr>
          <w:p w14:paraId="03441114"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tcBorders>
              <w:bottom w:val="double" w:sz="4" w:space="0" w:color="auto"/>
            </w:tcBorders>
            <w:noWrap/>
            <w:tcMar>
              <w:left w:w="58" w:type="dxa"/>
              <w:right w:w="58" w:type="dxa"/>
            </w:tcMar>
            <w:vAlign w:val="center"/>
          </w:tcPr>
          <w:p w14:paraId="654FE3EF" w14:textId="77777777" w:rsidR="00E465D0" w:rsidRPr="00745B90" w:rsidRDefault="00E465D0" w:rsidP="003003C4">
            <w:pPr>
              <w:jc w:val="right"/>
              <w:rPr>
                <w:rFonts w:eastAsia="Times New Roman"/>
                <w:sz w:val="20"/>
                <w:szCs w:val="20"/>
              </w:rPr>
            </w:pPr>
          </w:p>
        </w:tc>
        <w:tc>
          <w:tcPr>
            <w:tcW w:w="810" w:type="dxa"/>
            <w:tcBorders>
              <w:bottom w:val="double" w:sz="4" w:space="0" w:color="auto"/>
            </w:tcBorders>
            <w:noWrap/>
            <w:tcMar>
              <w:left w:w="58" w:type="dxa"/>
              <w:right w:w="58" w:type="dxa"/>
            </w:tcMar>
            <w:vAlign w:val="center"/>
          </w:tcPr>
          <w:p w14:paraId="44E84675" w14:textId="77777777" w:rsidR="00E465D0" w:rsidRPr="00745B90" w:rsidRDefault="00E465D0" w:rsidP="003003C4">
            <w:pPr>
              <w:jc w:val="right"/>
              <w:rPr>
                <w:rFonts w:eastAsia="Times New Roman"/>
                <w:sz w:val="20"/>
                <w:szCs w:val="20"/>
              </w:rPr>
            </w:pPr>
            <w:r w:rsidRPr="00745B90">
              <w:rPr>
                <w:color w:val="000000"/>
                <w:sz w:val="20"/>
                <w:szCs w:val="20"/>
              </w:rPr>
              <w:t>5.571</w:t>
            </w:r>
          </w:p>
        </w:tc>
        <w:tc>
          <w:tcPr>
            <w:tcW w:w="810" w:type="dxa"/>
            <w:tcBorders>
              <w:bottom w:val="double" w:sz="4" w:space="0" w:color="auto"/>
            </w:tcBorders>
            <w:noWrap/>
            <w:tcMar>
              <w:left w:w="58" w:type="dxa"/>
              <w:right w:w="58" w:type="dxa"/>
            </w:tcMar>
            <w:vAlign w:val="center"/>
          </w:tcPr>
          <w:p w14:paraId="1DE3BFF0" w14:textId="77777777" w:rsidR="00E465D0" w:rsidRPr="00745B90" w:rsidRDefault="00E465D0" w:rsidP="003003C4">
            <w:pPr>
              <w:jc w:val="right"/>
              <w:rPr>
                <w:rFonts w:eastAsia="Times New Roman"/>
                <w:sz w:val="20"/>
                <w:szCs w:val="20"/>
              </w:rPr>
            </w:pPr>
            <w:r w:rsidRPr="00745B90">
              <w:rPr>
                <w:color w:val="000000"/>
                <w:sz w:val="20"/>
                <w:szCs w:val="20"/>
              </w:rPr>
              <w:t>13.12</w:t>
            </w:r>
          </w:p>
        </w:tc>
        <w:tc>
          <w:tcPr>
            <w:tcW w:w="774" w:type="dxa"/>
            <w:tcBorders>
              <w:bottom w:val="double" w:sz="4" w:space="0" w:color="auto"/>
            </w:tcBorders>
            <w:noWrap/>
            <w:tcMar>
              <w:left w:w="58" w:type="dxa"/>
              <w:right w:w="58" w:type="dxa"/>
            </w:tcMar>
            <w:vAlign w:val="center"/>
          </w:tcPr>
          <w:p w14:paraId="45470DF7" w14:textId="77777777" w:rsidR="00E465D0" w:rsidRPr="00745B90" w:rsidRDefault="00E465D0" w:rsidP="003003C4">
            <w:pPr>
              <w:jc w:val="right"/>
              <w:rPr>
                <w:rFonts w:eastAsia="Times New Roman"/>
                <w:sz w:val="20"/>
                <w:szCs w:val="20"/>
              </w:rPr>
            </w:pPr>
            <w:r w:rsidRPr="00745B90">
              <w:rPr>
                <w:color w:val="000000"/>
                <w:sz w:val="20"/>
                <w:szCs w:val="20"/>
              </w:rPr>
              <w:t>4.453</w:t>
            </w:r>
          </w:p>
        </w:tc>
        <w:tc>
          <w:tcPr>
            <w:tcW w:w="724" w:type="dxa"/>
            <w:tcBorders>
              <w:right w:val="double" w:sz="4" w:space="0" w:color="auto"/>
            </w:tcBorders>
            <w:noWrap/>
            <w:tcMar>
              <w:left w:w="58" w:type="dxa"/>
              <w:right w:w="58" w:type="dxa"/>
            </w:tcMar>
            <w:vAlign w:val="center"/>
          </w:tcPr>
          <w:p w14:paraId="51EF83E9" w14:textId="77777777" w:rsidR="00E465D0" w:rsidRPr="00745B90" w:rsidRDefault="00E465D0" w:rsidP="003003C4">
            <w:pPr>
              <w:jc w:val="right"/>
              <w:rPr>
                <w:rFonts w:eastAsia="Times New Roman"/>
                <w:sz w:val="20"/>
                <w:szCs w:val="20"/>
              </w:rPr>
            </w:pPr>
            <w:r w:rsidRPr="00745B90">
              <w:rPr>
                <w:color w:val="000000"/>
                <w:sz w:val="20"/>
                <w:szCs w:val="20"/>
              </w:rPr>
              <w:t>7.96</w:t>
            </w:r>
          </w:p>
        </w:tc>
      </w:tr>
      <w:tr w:rsidR="00E465D0" w:rsidRPr="00745B90" w14:paraId="5A9939F6"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tcPr>
          <w:p w14:paraId="7B8C90BA"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Threshold Shifters for TN or Worker Segment</w:t>
            </w:r>
          </w:p>
        </w:tc>
      </w:tr>
      <w:tr w:rsidR="00E465D0" w:rsidRPr="00745B90" w14:paraId="7AF6611D" w14:textId="77777777" w:rsidTr="003003C4">
        <w:trPr>
          <w:trHeight w:val="245"/>
        </w:trPr>
        <w:tc>
          <w:tcPr>
            <w:tcW w:w="4670" w:type="dxa"/>
            <w:tcBorders>
              <w:left w:val="double" w:sz="4" w:space="0" w:color="auto"/>
            </w:tcBorders>
            <w:noWrap/>
            <w:tcMar>
              <w:left w:w="58" w:type="dxa"/>
              <w:right w:w="58" w:type="dxa"/>
            </w:tcMar>
            <w:vAlign w:val="center"/>
          </w:tcPr>
          <w:p w14:paraId="43517F17" w14:textId="77777777" w:rsidR="00E465D0" w:rsidRPr="00745B90" w:rsidRDefault="00E465D0" w:rsidP="003003C4">
            <w:pPr>
              <w:jc w:val="left"/>
              <w:rPr>
                <w:rFonts w:eastAsia="Times New Roman"/>
                <w:sz w:val="20"/>
                <w:szCs w:val="20"/>
              </w:rPr>
            </w:pPr>
            <w:r w:rsidRPr="00745B90">
              <w:rPr>
                <w:rFonts w:eastAsia="Times New Roman"/>
                <w:sz w:val="20"/>
                <w:szCs w:val="20"/>
              </w:rPr>
              <w:t>0|1</w:t>
            </w:r>
          </w:p>
        </w:tc>
        <w:tc>
          <w:tcPr>
            <w:tcW w:w="810" w:type="dxa"/>
            <w:noWrap/>
            <w:tcMar>
              <w:left w:w="58" w:type="dxa"/>
              <w:right w:w="58" w:type="dxa"/>
            </w:tcMar>
            <w:vAlign w:val="center"/>
          </w:tcPr>
          <w:p w14:paraId="28855E56" w14:textId="77777777" w:rsidR="00E465D0" w:rsidRPr="00745B90" w:rsidRDefault="00E465D0" w:rsidP="003003C4">
            <w:pPr>
              <w:jc w:val="right"/>
              <w:rPr>
                <w:rFonts w:eastAsia="Times New Roman"/>
                <w:sz w:val="20"/>
                <w:szCs w:val="20"/>
              </w:rPr>
            </w:pPr>
            <w:r w:rsidRPr="00745B90">
              <w:rPr>
                <w:rFonts w:eastAsia="Times New Roman"/>
                <w:sz w:val="20"/>
                <w:szCs w:val="20"/>
              </w:rPr>
              <w:t>NA</w:t>
            </w:r>
          </w:p>
        </w:tc>
        <w:tc>
          <w:tcPr>
            <w:tcW w:w="810" w:type="dxa"/>
            <w:noWrap/>
            <w:tcMar>
              <w:left w:w="58" w:type="dxa"/>
              <w:right w:w="58" w:type="dxa"/>
            </w:tcMar>
            <w:vAlign w:val="center"/>
          </w:tcPr>
          <w:p w14:paraId="1F80DFF0"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2E1BB3BC" w14:textId="77777777" w:rsidR="00E465D0" w:rsidRPr="00745B90" w:rsidRDefault="00E465D0" w:rsidP="003003C4">
            <w:pPr>
              <w:jc w:val="right"/>
              <w:rPr>
                <w:sz w:val="20"/>
                <w:szCs w:val="20"/>
              </w:rPr>
            </w:pPr>
            <w:r w:rsidRPr="00745B90">
              <w:rPr>
                <w:color w:val="000000"/>
                <w:sz w:val="20"/>
                <w:szCs w:val="20"/>
              </w:rPr>
              <w:t>5.820</w:t>
            </w:r>
          </w:p>
        </w:tc>
        <w:tc>
          <w:tcPr>
            <w:tcW w:w="810" w:type="dxa"/>
            <w:noWrap/>
            <w:tcMar>
              <w:left w:w="58" w:type="dxa"/>
              <w:right w:w="58" w:type="dxa"/>
            </w:tcMar>
            <w:vAlign w:val="center"/>
          </w:tcPr>
          <w:p w14:paraId="77CAF9F4" w14:textId="77777777" w:rsidR="00E465D0" w:rsidRPr="00745B90" w:rsidRDefault="00E465D0" w:rsidP="003003C4">
            <w:pPr>
              <w:jc w:val="right"/>
              <w:rPr>
                <w:sz w:val="20"/>
                <w:szCs w:val="20"/>
              </w:rPr>
            </w:pPr>
            <w:r w:rsidRPr="00745B90">
              <w:rPr>
                <w:color w:val="000000"/>
                <w:sz w:val="20"/>
                <w:szCs w:val="20"/>
              </w:rPr>
              <w:t>8.82</w:t>
            </w:r>
          </w:p>
        </w:tc>
        <w:tc>
          <w:tcPr>
            <w:tcW w:w="774" w:type="dxa"/>
            <w:noWrap/>
            <w:tcMar>
              <w:left w:w="58" w:type="dxa"/>
              <w:right w:w="58" w:type="dxa"/>
            </w:tcMar>
            <w:vAlign w:val="center"/>
          </w:tcPr>
          <w:p w14:paraId="40E3EA7F" w14:textId="77777777" w:rsidR="00E465D0" w:rsidRPr="00745B90" w:rsidRDefault="00E465D0" w:rsidP="003003C4">
            <w:pPr>
              <w:jc w:val="right"/>
              <w:rPr>
                <w:sz w:val="20"/>
                <w:szCs w:val="20"/>
              </w:rPr>
            </w:pPr>
            <w:r w:rsidRPr="00745B90">
              <w:rPr>
                <w:color w:val="000000"/>
                <w:sz w:val="20"/>
                <w:szCs w:val="20"/>
              </w:rPr>
              <w:t>1.378</w:t>
            </w:r>
          </w:p>
        </w:tc>
        <w:tc>
          <w:tcPr>
            <w:tcW w:w="724" w:type="dxa"/>
            <w:tcBorders>
              <w:right w:val="double" w:sz="4" w:space="0" w:color="auto"/>
            </w:tcBorders>
            <w:noWrap/>
            <w:tcMar>
              <w:left w:w="58" w:type="dxa"/>
              <w:right w:w="58" w:type="dxa"/>
            </w:tcMar>
            <w:vAlign w:val="center"/>
          </w:tcPr>
          <w:p w14:paraId="02A7D080" w14:textId="77777777" w:rsidR="00E465D0" w:rsidRPr="00745B90" w:rsidRDefault="00E465D0" w:rsidP="003003C4">
            <w:pPr>
              <w:jc w:val="right"/>
              <w:rPr>
                <w:rFonts w:eastAsia="Times New Roman"/>
                <w:sz w:val="20"/>
                <w:szCs w:val="20"/>
              </w:rPr>
            </w:pPr>
            <w:r w:rsidRPr="00745B90">
              <w:rPr>
                <w:color w:val="000000"/>
                <w:sz w:val="20"/>
                <w:szCs w:val="20"/>
              </w:rPr>
              <w:t>1.12</w:t>
            </w:r>
          </w:p>
        </w:tc>
      </w:tr>
      <w:tr w:rsidR="00E465D0" w:rsidRPr="00745B90" w14:paraId="531CA1C4" w14:textId="77777777" w:rsidTr="003003C4">
        <w:trPr>
          <w:trHeight w:val="245"/>
        </w:trPr>
        <w:tc>
          <w:tcPr>
            <w:tcW w:w="9408" w:type="dxa"/>
            <w:gridSpan w:val="7"/>
            <w:tcBorders>
              <w:top w:val="double" w:sz="4" w:space="0" w:color="auto"/>
              <w:left w:val="double" w:sz="4" w:space="0" w:color="auto"/>
              <w:right w:val="double" w:sz="4" w:space="0" w:color="auto"/>
            </w:tcBorders>
            <w:noWrap/>
            <w:tcMar>
              <w:left w:w="58" w:type="dxa"/>
              <w:right w:w="58" w:type="dxa"/>
            </w:tcMar>
            <w:vAlign w:val="center"/>
          </w:tcPr>
          <w:p w14:paraId="58F89297"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Kernel (NT or Player Segment)</w:t>
            </w:r>
          </w:p>
        </w:tc>
      </w:tr>
      <w:tr w:rsidR="00E465D0" w:rsidRPr="00745B90" w14:paraId="62EB0221" w14:textId="77777777" w:rsidTr="003003C4">
        <w:trPr>
          <w:trHeight w:val="245"/>
        </w:trPr>
        <w:tc>
          <w:tcPr>
            <w:tcW w:w="4670" w:type="dxa"/>
            <w:tcBorders>
              <w:left w:val="double" w:sz="4" w:space="0" w:color="auto"/>
            </w:tcBorders>
            <w:noWrap/>
            <w:tcMar>
              <w:left w:w="58" w:type="dxa"/>
              <w:right w:w="58" w:type="dxa"/>
            </w:tcMar>
            <w:vAlign w:val="center"/>
          </w:tcPr>
          <w:p w14:paraId="0C76C029" w14:textId="77777777" w:rsidR="00E465D0" w:rsidRPr="00745B90" w:rsidRDefault="00E465D0" w:rsidP="003003C4">
            <w:pPr>
              <w:jc w:val="left"/>
              <w:rPr>
                <w:rFonts w:eastAsia="Times New Roman"/>
                <w:sz w:val="20"/>
                <w:szCs w:val="20"/>
              </w:rPr>
            </w:pPr>
            <w:r w:rsidRPr="00745B90">
              <w:rPr>
                <w:rFonts w:eastAsia="Times New Roman"/>
                <w:sz w:val="20"/>
                <w:szCs w:val="20"/>
              </w:rPr>
              <w:t>Telework</w:t>
            </w:r>
          </w:p>
        </w:tc>
        <w:tc>
          <w:tcPr>
            <w:tcW w:w="810" w:type="dxa"/>
            <w:noWrap/>
            <w:tcMar>
              <w:left w:w="58" w:type="dxa"/>
              <w:right w:w="58" w:type="dxa"/>
            </w:tcMar>
            <w:vAlign w:val="center"/>
          </w:tcPr>
          <w:p w14:paraId="42B6A436" w14:textId="77777777" w:rsidR="00E465D0" w:rsidRPr="00745B90" w:rsidRDefault="00E465D0" w:rsidP="003003C4">
            <w:pPr>
              <w:jc w:val="right"/>
              <w:rPr>
                <w:rFonts w:eastAsia="Times New Roman"/>
                <w:sz w:val="20"/>
                <w:szCs w:val="20"/>
              </w:rPr>
            </w:pPr>
            <w:r w:rsidRPr="00745B90">
              <w:rPr>
                <w:rFonts w:eastAsia="Times New Roman"/>
                <w:sz w:val="20"/>
                <w:szCs w:val="20"/>
              </w:rPr>
              <w:t>1.000</w:t>
            </w:r>
          </w:p>
        </w:tc>
        <w:tc>
          <w:tcPr>
            <w:tcW w:w="810" w:type="dxa"/>
            <w:noWrap/>
            <w:tcMar>
              <w:left w:w="58" w:type="dxa"/>
              <w:right w:w="58" w:type="dxa"/>
            </w:tcMar>
            <w:vAlign w:val="center"/>
          </w:tcPr>
          <w:p w14:paraId="73C671BF"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1F06AD31" w14:textId="77777777" w:rsidR="00E465D0" w:rsidRPr="00745B90" w:rsidRDefault="00E465D0" w:rsidP="003003C4">
            <w:pPr>
              <w:jc w:val="right"/>
              <w:rPr>
                <w:sz w:val="20"/>
                <w:szCs w:val="20"/>
              </w:rPr>
            </w:pPr>
            <w:r w:rsidRPr="00745B90">
              <w:rPr>
                <w:color w:val="000000"/>
                <w:sz w:val="20"/>
                <w:szCs w:val="20"/>
              </w:rPr>
              <w:t>-0.015</w:t>
            </w:r>
          </w:p>
        </w:tc>
        <w:tc>
          <w:tcPr>
            <w:tcW w:w="810" w:type="dxa"/>
            <w:noWrap/>
            <w:tcMar>
              <w:left w:w="58" w:type="dxa"/>
              <w:right w:w="58" w:type="dxa"/>
            </w:tcMar>
            <w:vAlign w:val="center"/>
          </w:tcPr>
          <w:p w14:paraId="5E2EED91" w14:textId="77777777" w:rsidR="00E465D0" w:rsidRPr="00745B90" w:rsidRDefault="00E465D0" w:rsidP="003003C4">
            <w:pPr>
              <w:jc w:val="right"/>
              <w:rPr>
                <w:sz w:val="20"/>
                <w:szCs w:val="20"/>
              </w:rPr>
            </w:pPr>
            <w:r w:rsidRPr="00745B90">
              <w:rPr>
                <w:color w:val="000000"/>
                <w:sz w:val="20"/>
                <w:szCs w:val="20"/>
              </w:rPr>
              <w:t>-0.39</w:t>
            </w:r>
          </w:p>
        </w:tc>
        <w:tc>
          <w:tcPr>
            <w:tcW w:w="774" w:type="dxa"/>
            <w:noWrap/>
            <w:tcMar>
              <w:left w:w="58" w:type="dxa"/>
              <w:right w:w="58" w:type="dxa"/>
            </w:tcMar>
            <w:vAlign w:val="center"/>
          </w:tcPr>
          <w:p w14:paraId="495CB96E" w14:textId="77777777" w:rsidR="00E465D0" w:rsidRPr="00745B90" w:rsidRDefault="00E465D0" w:rsidP="003003C4">
            <w:pPr>
              <w:jc w:val="right"/>
              <w:rPr>
                <w:rFonts w:eastAsia="Times New Roman"/>
                <w:sz w:val="20"/>
                <w:szCs w:val="20"/>
              </w:rPr>
            </w:pPr>
            <w:r w:rsidRPr="00745B90">
              <w:rPr>
                <w:color w:val="000000"/>
                <w:sz w:val="20"/>
                <w:szCs w:val="20"/>
              </w:rPr>
              <w:t>0.013</w:t>
            </w:r>
          </w:p>
        </w:tc>
        <w:tc>
          <w:tcPr>
            <w:tcW w:w="724" w:type="dxa"/>
            <w:tcBorders>
              <w:right w:val="double" w:sz="4" w:space="0" w:color="auto"/>
            </w:tcBorders>
            <w:noWrap/>
            <w:tcMar>
              <w:left w:w="58" w:type="dxa"/>
              <w:right w:w="58" w:type="dxa"/>
            </w:tcMar>
            <w:vAlign w:val="center"/>
          </w:tcPr>
          <w:p w14:paraId="05427E11" w14:textId="77777777" w:rsidR="00E465D0" w:rsidRPr="00745B90" w:rsidRDefault="00E465D0" w:rsidP="003003C4">
            <w:pPr>
              <w:jc w:val="right"/>
              <w:rPr>
                <w:rFonts w:eastAsia="Times New Roman"/>
                <w:sz w:val="20"/>
                <w:szCs w:val="20"/>
              </w:rPr>
            </w:pPr>
            <w:r w:rsidRPr="00745B90">
              <w:rPr>
                <w:color w:val="000000"/>
                <w:sz w:val="20"/>
                <w:szCs w:val="20"/>
              </w:rPr>
              <w:t>0.20</w:t>
            </w:r>
          </w:p>
        </w:tc>
      </w:tr>
      <w:tr w:rsidR="00E465D0" w:rsidRPr="00745B90" w14:paraId="386B8FC4" w14:textId="77777777" w:rsidTr="003003C4">
        <w:trPr>
          <w:trHeight w:val="245"/>
        </w:trPr>
        <w:tc>
          <w:tcPr>
            <w:tcW w:w="4670" w:type="dxa"/>
            <w:tcBorders>
              <w:left w:val="double" w:sz="4" w:space="0" w:color="auto"/>
            </w:tcBorders>
            <w:noWrap/>
            <w:tcMar>
              <w:left w:w="58" w:type="dxa"/>
              <w:right w:w="58" w:type="dxa"/>
            </w:tcMar>
            <w:vAlign w:val="center"/>
          </w:tcPr>
          <w:p w14:paraId="6CBD8F6A" w14:textId="77777777" w:rsidR="00E465D0" w:rsidRPr="00745B90" w:rsidRDefault="00E465D0" w:rsidP="003003C4">
            <w:pPr>
              <w:jc w:val="left"/>
              <w:rPr>
                <w:rFonts w:eastAsia="Times New Roman"/>
                <w:sz w:val="20"/>
                <w:szCs w:val="20"/>
              </w:rPr>
            </w:pPr>
            <w:r w:rsidRPr="00745B90">
              <w:rPr>
                <w:rFonts w:eastAsia="Times New Roman"/>
                <w:sz w:val="20"/>
                <w:szCs w:val="20"/>
              </w:rPr>
              <w:t>Maintenance Stops</w:t>
            </w:r>
          </w:p>
        </w:tc>
        <w:tc>
          <w:tcPr>
            <w:tcW w:w="810" w:type="dxa"/>
            <w:noWrap/>
            <w:tcMar>
              <w:left w:w="58" w:type="dxa"/>
              <w:right w:w="58" w:type="dxa"/>
            </w:tcMar>
            <w:vAlign w:val="center"/>
          </w:tcPr>
          <w:p w14:paraId="3F33D722"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42D1167B"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6A58526F" w14:textId="77777777" w:rsidR="00E465D0" w:rsidRPr="00745B90" w:rsidRDefault="00E465D0" w:rsidP="003003C4">
            <w:pPr>
              <w:jc w:val="right"/>
              <w:rPr>
                <w:sz w:val="20"/>
                <w:szCs w:val="20"/>
              </w:rPr>
            </w:pPr>
            <w:r w:rsidRPr="00745B90">
              <w:rPr>
                <w:rFonts w:eastAsia="Times New Roman"/>
                <w:sz w:val="20"/>
                <w:szCs w:val="20"/>
              </w:rPr>
              <w:t>1.000</w:t>
            </w:r>
          </w:p>
        </w:tc>
        <w:tc>
          <w:tcPr>
            <w:tcW w:w="810" w:type="dxa"/>
            <w:noWrap/>
            <w:tcMar>
              <w:left w:w="58" w:type="dxa"/>
              <w:right w:w="58" w:type="dxa"/>
            </w:tcMar>
            <w:vAlign w:val="center"/>
          </w:tcPr>
          <w:p w14:paraId="595F5FCA" w14:textId="77777777" w:rsidR="00E465D0" w:rsidRPr="00745B90" w:rsidRDefault="00E465D0" w:rsidP="003003C4">
            <w:pPr>
              <w:jc w:val="right"/>
              <w:rPr>
                <w:sz w:val="20"/>
                <w:szCs w:val="20"/>
              </w:rPr>
            </w:pPr>
          </w:p>
        </w:tc>
        <w:tc>
          <w:tcPr>
            <w:tcW w:w="774" w:type="dxa"/>
            <w:noWrap/>
            <w:tcMar>
              <w:left w:w="58" w:type="dxa"/>
              <w:right w:w="58" w:type="dxa"/>
            </w:tcMar>
            <w:vAlign w:val="center"/>
          </w:tcPr>
          <w:p w14:paraId="3AEA9EB3" w14:textId="77777777" w:rsidR="00E465D0" w:rsidRPr="00745B90" w:rsidRDefault="00E465D0" w:rsidP="003003C4">
            <w:pPr>
              <w:jc w:val="right"/>
              <w:rPr>
                <w:rFonts w:eastAsia="Times New Roman"/>
                <w:sz w:val="20"/>
                <w:szCs w:val="20"/>
              </w:rPr>
            </w:pPr>
            <w:r w:rsidRPr="00745B90">
              <w:rPr>
                <w:color w:val="000000"/>
                <w:sz w:val="20"/>
                <w:szCs w:val="20"/>
              </w:rPr>
              <w:t>0.136</w:t>
            </w:r>
          </w:p>
        </w:tc>
        <w:tc>
          <w:tcPr>
            <w:tcW w:w="724" w:type="dxa"/>
            <w:tcBorders>
              <w:right w:val="double" w:sz="4" w:space="0" w:color="auto"/>
            </w:tcBorders>
            <w:noWrap/>
            <w:tcMar>
              <w:left w:w="58" w:type="dxa"/>
              <w:right w:w="58" w:type="dxa"/>
            </w:tcMar>
            <w:vAlign w:val="center"/>
          </w:tcPr>
          <w:p w14:paraId="55D71C75" w14:textId="77777777" w:rsidR="00E465D0" w:rsidRPr="00745B90" w:rsidRDefault="00E465D0" w:rsidP="003003C4">
            <w:pPr>
              <w:jc w:val="right"/>
              <w:rPr>
                <w:rFonts w:eastAsia="Times New Roman"/>
                <w:sz w:val="20"/>
                <w:szCs w:val="20"/>
              </w:rPr>
            </w:pPr>
            <w:r w:rsidRPr="00745B90">
              <w:rPr>
                <w:color w:val="000000"/>
                <w:sz w:val="20"/>
                <w:szCs w:val="20"/>
              </w:rPr>
              <w:t>2.99</w:t>
            </w:r>
          </w:p>
        </w:tc>
      </w:tr>
      <w:tr w:rsidR="00E465D0" w:rsidRPr="00745B90" w14:paraId="1D4697EE" w14:textId="77777777" w:rsidTr="003003C4">
        <w:trPr>
          <w:trHeight w:val="245"/>
        </w:trPr>
        <w:tc>
          <w:tcPr>
            <w:tcW w:w="4670" w:type="dxa"/>
            <w:tcBorders>
              <w:left w:val="double" w:sz="4" w:space="0" w:color="auto"/>
              <w:bottom w:val="double" w:sz="4" w:space="0" w:color="auto"/>
            </w:tcBorders>
            <w:noWrap/>
            <w:tcMar>
              <w:left w:w="58" w:type="dxa"/>
              <w:right w:w="58" w:type="dxa"/>
            </w:tcMar>
            <w:vAlign w:val="center"/>
          </w:tcPr>
          <w:p w14:paraId="11773530" w14:textId="77777777" w:rsidR="00E465D0" w:rsidRPr="00745B90" w:rsidRDefault="00E465D0" w:rsidP="003003C4">
            <w:pPr>
              <w:jc w:val="left"/>
              <w:rPr>
                <w:rFonts w:eastAsia="Times New Roman"/>
                <w:sz w:val="20"/>
                <w:szCs w:val="20"/>
              </w:rPr>
            </w:pPr>
            <w:r w:rsidRPr="00745B90">
              <w:rPr>
                <w:rFonts w:eastAsia="Times New Roman"/>
                <w:sz w:val="20"/>
                <w:szCs w:val="20"/>
              </w:rPr>
              <w:t>Leisure Stops</w:t>
            </w:r>
          </w:p>
        </w:tc>
        <w:tc>
          <w:tcPr>
            <w:tcW w:w="810" w:type="dxa"/>
            <w:tcBorders>
              <w:bottom w:val="double" w:sz="4" w:space="0" w:color="auto"/>
            </w:tcBorders>
            <w:noWrap/>
            <w:tcMar>
              <w:left w:w="58" w:type="dxa"/>
              <w:right w:w="58" w:type="dxa"/>
            </w:tcMar>
            <w:vAlign w:val="center"/>
          </w:tcPr>
          <w:p w14:paraId="254023E4" w14:textId="77777777" w:rsidR="00E465D0" w:rsidRPr="00745B90" w:rsidRDefault="00E465D0" w:rsidP="003003C4">
            <w:pPr>
              <w:jc w:val="right"/>
              <w:rPr>
                <w:rFonts w:eastAsia="Times New Roman"/>
                <w:sz w:val="20"/>
                <w:szCs w:val="20"/>
              </w:rPr>
            </w:pPr>
          </w:p>
        </w:tc>
        <w:tc>
          <w:tcPr>
            <w:tcW w:w="810" w:type="dxa"/>
            <w:tcBorders>
              <w:bottom w:val="double" w:sz="4" w:space="0" w:color="auto"/>
            </w:tcBorders>
            <w:noWrap/>
            <w:tcMar>
              <w:left w:w="58" w:type="dxa"/>
              <w:right w:w="58" w:type="dxa"/>
            </w:tcMar>
            <w:vAlign w:val="center"/>
          </w:tcPr>
          <w:p w14:paraId="28ADB72C" w14:textId="77777777" w:rsidR="00E465D0" w:rsidRPr="00745B90" w:rsidRDefault="00E465D0" w:rsidP="003003C4">
            <w:pPr>
              <w:jc w:val="right"/>
              <w:rPr>
                <w:rFonts w:eastAsia="Times New Roman"/>
                <w:sz w:val="20"/>
                <w:szCs w:val="20"/>
              </w:rPr>
            </w:pPr>
          </w:p>
        </w:tc>
        <w:tc>
          <w:tcPr>
            <w:tcW w:w="810" w:type="dxa"/>
            <w:tcBorders>
              <w:bottom w:val="double" w:sz="4" w:space="0" w:color="auto"/>
            </w:tcBorders>
            <w:noWrap/>
            <w:tcMar>
              <w:left w:w="58" w:type="dxa"/>
              <w:right w:w="58" w:type="dxa"/>
            </w:tcMar>
            <w:vAlign w:val="center"/>
          </w:tcPr>
          <w:p w14:paraId="2B58E88E" w14:textId="77777777" w:rsidR="00E465D0" w:rsidRPr="00745B90" w:rsidRDefault="00E465D0" w:rsidP="003003C4">
            <w:pPr>
              <w:jc w:val="right"/>
              <w:rPr>
                <w:sz w:val="20"/>
                <w:szCs w:val="20"/>
              </w:rPr>
            </w:pPr>
          </w:p>
        </w:tc>
        <w:tc>
          <w:tcPr>
            <w:tcW w:w="810" w:type="dxa"/>
            <w:tcBorders>
              <w:bottom w:val="double" w:sz="4" w:space="0" w:color="auto"/>
            </w:tcBorders>
            <w:noWrap/>
            <w:tcMar>
              <w:left w:w="58" w:type="dxa"/>
              <w:right w:w="58" w:type="dxa"/>
            </w:tcMar>
            <w:vAlign w:val="center"/>
          </w:tcPr>
          <w:p w14:paraId="0CDE53B3" w14:textId="77777777" w:rsidR="00E465D0" w:rsidRPr="00745B90" w:rsidRDefault="00E465D0" w:rsidP="003003C4">
            <w:pPr>
              <w:jc w:val="right"/>
              <w:rPr>
                <w:sz w:val="20"/>
                <w:szCs w:val="20"/>
              </w:rPr>
            </w:pPr>
          </w:p>
        </w:tc>
        <w:tc>
          <w:tcPr>
            <w:tcW w:w="774" w:type="dxa"/>
            <w:tcBorders>
              <w:bottom w:val="double" w:sz="4" w:space="0" w:color="auto"/>
            </w:tcBorders>
            <w:noWrap/>
            <w:tcMar>
              <w:left w:w="58" w:type="dxa"/>
              <w:right w:w="58" w:type="dxa"/>
            </w:tcMar>
            <w:vAlign w:val="center"/>
          </w:tcPr>
          <w:p w14:paraId="483DB1C6" w14:textId="77777777" w:rsidR="00E465D0" w:rsidRPr="00745B90" w:rsidRDefault="00E465D0" w:rsidP="003003C4">
            <w:pPr>
              <w:jc w:val="right"/>
              <w:rPr>
                <w:rFonts w:eastAsia="Times New Roman"/>
                <w:sz w:val="20"/>
                <w:szCs w:val="20"/>
              </w:rPr>
            </w:pPr>
            <w:r w:rsidRPr="00745B90">
              <w:rPr>
                <w:rFonts w:eastAsia="Times New Roman"/>
                <w:sz w:val="20"/>
                <w:szCs w:val="20"/>
              </w:rPr>
              <w:t>1.000</w:t>
            </w:r>
          </w:p>
        </w:tc>
        <w:tc>
          <w:tcPr>
            <w:tcW w:w="724" w:type="dxa"/>
            <w:tcBorders>
              <w:bottom w:val="double" w:sz="4" w:space="0" w:color="auto"/>
              <w:right w:val="double" w:sz="4" w:space="0" w:color="auto"/>
            </w:tcBorders>
            <w:noWrap/>
            <w:tcMar>
              <w:left w:w="58" w:type="dxa"/>
              <w:right w:w="58" w:type="dxa"/>
            </w:tcMar>
            <w:vAlign w:val="center"/>
          </w:tcPr>
          <w:p w14:paraId="01D9D82B" w14:textId="77777777" w:rsidR="00E465D0" w:rsidRPr="00745B90" w:rsidRDefault="00E465D0" w:rsidP="003003C4">
            <w:pPr>
              <w:jc w:val="right"/>
              <w:rPr>
                <w:rFonts w:eastAsia="Times New Roman"/>
                <w:sz w:val="20"/>
                <w:szCs w:val="20"/>
              </w:rPr>
            </w:pPr>
          </w:p>
        </w:tc>
      </w:tr>
      <w:tr w:rsidR="00E465D0" w:rsidRPr="00745B90" w14:paraId="6DEDE70C" w14:textId="77777777" w:rsidTr="003003C4">
        <w:trPr>
          <w:trHeight w:val="245"/>
        </w:trPr>
        <w:tc>
          <w:tcPr>
            <w:tcW w:w="9408" w:type="dxa"/>
            <w:gridSpan w:val="7"/>
            <w:tcBorders>
              <w:left w:val="double" w:sz="4" w:space="0" w:color="auto"/>
              <w:bottom w:val="double" w:sz="4" w:space="0" w:color="auto"/>
              <w:right w:val="double" w:sz="4" w:space="0" w:color="auto"/>
            </w:tcBorders>
            <w:noWrap/>
            <w:tcMar>
              <w:left w:w="58" w:type="dxa"/>
              <w:right w:w="58" w:type="dxa"/>
            </w:tcMar>
            <w:vAlign w:val="center"/>
          </w:tcPr>
          <w:p w14:paraId="383F42AE" w14:textId="77777777" w:rsidR="00E465D0" w:rsidRPr="00745B90" w:rsidRDefault="00E465D0" w:rsidP="003003C4">
            <w:pPr>
              <w:jc w:val="left"/>
              <w:rPr>
                <w:rFonts w:eastAsia="Times New Roman"/>
                <w:sz w:val="20"/>
                <w:szCs w:val="20"/>
              </w:rPr>
            </w:pPr>
            <w:r w:rsidRPr="00745B90">
              <w:rPr>
                <w:rFonts w:eastAsia="Times New Roman"/>
                <w:b/>
                <w:bCs/>
                <w:i/>
                <w:iCs/>
                <w:sz w:val="20"/>
                <w:szCs w:val="20"/>
              </w:rPr>
              <w:t>Kernel (TN or Worker Segment)</w:t>
            </w:r>
          </w:p>
        </w:tc>
      </w:tr>
      <w:tr w:rsidR="00E465D0" w:rsidRPr="00745B90" w14:paraId="358C3AA6" w14:textId="77777777" w:rsidTr="003003C4">
        <w:trPr>
          <w:trHeight w:val="245"/>
        </w:trPr>
        <w:tc>
          <w:tcPr>
            <w:tcW w:w="4670" w:type="dxa"/>
            <w:tcBorders>
              <w:left w:val="double" w:sz="4" w:space="0" w:color="auto"/>
            </w:tcBorders>
            <w:noWrap/>
            <w:tcMar>
              <w:left w:w="58" w:type="dxa"/>
              <w:right w:w="58" w:type="dxa"/>
            </w:tcMar>
            <w:vAlign w:val="center"/>
          </w:tcPr>
          <w:p w14:paraId="5AC5AF65" w14:textId="77777777" w:rsidR="00E465D0" w:rsidRPr="00745B90" w:rsidRDefault="00E465D0" w:rsidP="003003C4">
            <w:pPr>
              <w:jc w:val="left"/>
              <w:rPr>
                <w:rFonts w:eastAsia="Times New Roman"/>
                <w:sz w:val="20"/>
                <w:szCs w:val="20"/>
              </w:rPr>
            </w:pPr>
            <w:r w:rsidRPr="00745B90">
              <w:rPr>
                <w:rFonts w:eastAsia="Times New Roman"/>
                <w:sz w:val="20"/>
                <w:szCs w:val="20"/>
              </w:rPr>
              <w:t>Telework</w:t>
            </w:r>
          </w:p>
        </w:tc>
        <w:tc>
          <w:tcPr>
            <w:tcW w:w="810" w:type="dxa"/>
            <w:noWrap/>
            <w:tcMar>
              <w:left w:w="58" w:type="dxa"/>
              <w:right w:w="58" w:type="dxa"/>
            </w:tcMar>
            <w:vAlign w:val="center"/>
          </w:tcPr>
          <w:p w14:paraId="6CE68F3A" w14:textId="77777777" w:rsidR="00E465D0" w:rsidRPr="00745B90" w:rsidRDefault="00E465D0" w:rsidP="003003C4">
            <w:pPr>
              <w:jc w:val="right"/>
              <w:rPr>
                <w:rFonts w:eastAsia="Times New Roman"/>
                <w:sz w:val="20"/>
                <w:szCs w:val="20"/>
              </w:rPr>
            </w:pPr>
            <w:r w:rsidRPr="00745B90">
              <w:rPr>
                <w:rFonts w:eastAsia="Times New Roman"/>
                <w:sz w:val="20"/>
                <w:szCs w:val="20"/>
              </w:rPr>
              <w:t>1.000</w:t>
            </w:r>
          </w:p>
        </w:tc>
        <w:tc>
          <w:tcPr>
            <w:tcW w:w="810" w:type="dxa"/>
            <w:noWrap/>
            <w:tcMar>
              <w:left w:w="58" w:type="dxa"/>
              <w:right w:w="58" w:type="dxa"/>
            </w:tcMar>
            <w:vAlign w:val="center"/>
          </w:tcPr>
          <w:p w14:paraId="6411A698"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1430FF3F" w14:textId="77777777" w:rsidR="00E465D0" w:rsidRPr="00745B90" w:rsidRDefault="00E465D0" w:rsidP="003003C4">
            <w:pPr>
              <w:jc w:val="right"/>
              <w:rPr>
                <w:sz w:val="20"/>
                <w:szCs w:val="20"/>
              </w:rPr>
            </w:pPr>
            <w:r w:rsidRPr="00745B90">
              <w:rPr>
                <w:color w:val="000000"/>
                <w:sz w:val="20"/>
                <w:szCs w:val="20"/>
              </w:rPr>
              <w:t>-0.013</w:t>
            </w:r>
          </w:p>
        </w:tc>
        <w:tc>
          <w:tcPr>
            <w:tcW w:w="810" w:type="dxa"/>
            <w:noWrap/>
            <w:tcMar>
              <w:left w:w="58" w:type="dxa"/>
              <w:right w:w="58" w:type="dxa"/>
            </w:tcMar>
            <w:vAlign w:val="center"/>
          </w:tcPr>
          <w:p w14:paraId="36BCC830" w14:textId="77777777" w:rsidR="00E465D0" w:rsidRPr="00745B90" w:rsidRDefault="00E465D0" w:rsidP="003003C4">
            <w:pPr>
              <w:jc w:val="right"/>
              <w:rPr>
                <w:sz w:val="20"/>
                <w:szCs w:val="20"/>
              </w:rPr>
            </w:pPr>
            <w:r w:rsidRPr="00745B90">
              <w:rPr>
                <w:color w:val="000000"/>
                <w:sz w:val="20"/>
                <w:szCs w:val="20"/>
              </w:rPr>
              <w:t>-0.25</w:t>
            </w:r>
          </w:p>
        </w:tc>
        <w:tc>
          <w:tcPr>
            <w:tcW w:w="774" w:type="dxa"/>
            <w:noWrap/>
            <w:tcMar>
              <w:left w:w="58" w:type="dxa"/>
              <w:right w:w="58" w:type="dxa"/>
            </w:tcMar>
            <w:vAlign w:val="center"/>
          </w:tcPr>
          <w:p w14:paraId="0358AB0A" w14:textId="77777777" w:rsidR="00E465D0" w:rsidRPr="00745B90" w:rsidRDefault="00E465D0" w:rsidP="003003C4">
            <w:pPr>
              <w:jc w:val="right"/>
              <w:rPr>
                <w:rFonts w:eastAsia="Times New Roman"/>
                <w:sz w:val="20"/>
                <w:szCs w:val="20"/>
              </w:rPr>
            </w:pPr>
            <w:r w:rsidRPr="00745B90">
              <w:rPr>
                <w:color w:val="000000"/>
                <w:sz w:val="20"/>
                <w:szCs w:val="20"/>
              </w:rPr>
              <w:t>-0.057</w:t>
            </w:r>
          </w:p>
        </w:tc>
        <w:tc>
          <w:tcPr>
            <w:tcW w:w="724" w:type="dxa"/>
            <w:tcBorders>
              <w:top w:val="double" w:sz="4" w:space="0" w:color="auto"/>
              <w:right w:val="double" w:sz="4" w:space="0" w:color="auto"/>
            </w:tcBorders>
            <w:noWrap/>
            <w:tcMar>
              <w:left w:w="58" w:type="dxa"/>
              <w:right w:w="58" w:type="dxa"/>
            </w:tcMar>
            <w:vAlign w:val="center"/>
          </w:tcPr>
          <w:p w14:paraId="7BA64AB0" w14:textId="77777777" w:rsidR="00E465D0" w:rsidRPr="00745B90" w:rsidRDefault="00E465D0" w:rsidP="003003C4">
            <w:pPr>
              <w:jc w:val="right"/>
              <w:rPr>
                <w:rFonts w:eastAsia="Times New Roman"/>
                <w:sz w:val="20"/>
                <w:szCs w:val="20"/>
              </w:rPr>
            </w:pPr>
            <w:r w:rsidRPr="00745B90">
              <w:rPr>
                <w:color w:val="000000"/>
                <w:sz w:val="20"/>
                <w:szCs w:val="20"/>
              </w:rPr>
              <w:t>-0.78</w:t>
            </w:r>
          </w:p>
        </w:tc>
      </w:tr>
      <w:tr w:rsidR="00E465D0" w:rsidRPr="00745B90" w14:paraId="1458A635" w14:textId="77777777" w:rsidTr="003003C4">
        <w:trPr>
          <w:trHeight w:val="245"/>
        </w:trPr>
        <w:tc>
          <w:tcPr>
            <w:tcW w:w="4670" w:type="dxa"/>
            <w:tcBorders>
              <w:left w:val="double" w:sz="4" w:space="0" w:color="auto"/>
            </w:tcBorders>
            <w:noWrap/>
            <w:tcMar>
              <w:left w:w="58" w:type="dxa"/>
              <w:right w:w="58" w:type="dxa"/>
            </w:tcMar>
            <w:vAlign w:val="center"/>
          </w:tcPr>
          <w:p w14:paraId="5FB2BDC2" w14:textId="77777777" w:rsidR="00E465D0" w:rsidRPr="00745B90" w:rsidRDefault="00E465D0" w:rsidP="003003C4">
            <w:pPr>
              <w:jc w:val="left"/>
              <w:rPr>
                <w:rFonts w:eastAsia="Times New Roman"/>
                <w:sz w:val="20"/>
                <w:szCs w:val="20"/>
              </w:rPr>
            </w:pPr>
            <w:r w:rsidRPr="00745B90">
              <w:rPr>
                <w:rFonts w:eastAsia="Times New Roman"/>
                <w:sz w:val="20"/>
                <w:szCs w:val="20"/>
              </w:rPr>
              <w:t>Maintenance Stops</w:t>
            </w:r>
          </w:p>
        </w:tc>
        <w:tc>
          <w:tcPr>
            <w:tcW w:w="810" w:type="dxa"/>
            <w:noWrap/>
            <w:tcMar>
              <w:left w:w="58" w:type="dxa"/>
              <w:right w:w="58" w:type="dxa"/>
            </w:tcMar>
            <w:vAlign w:val="center"/>
          </w:tcPr>
          <w:p w14:paraId="672691F1"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4DB9BBEB" w14:textId="77777777" w:rsidR="00E465D0" w:rsidRPr="00745B90" w:rsidRDefault="00E465D0" w:rsidP="003003C4">
            <w:pPr>
              <w:jc w:val="right"/>
              <w:rPr>
                <w:rFonts w:eastAsia="Times New Roman"/>
                <w:sz w:val="20"/>
                <w:szCs w:val="20"/>
              </w:rPr>
            </w:pPr>
          </w:p>
        </w:tc>
        <w:tc>
          <w:tcPr>
            <w:tcW w:w="810" w:type="dxa"/>
            <w:noWrap/>
            <w:tcMar>
              <w:left w:w="58" w:type="dxa"/>
              <w:right w:w="58" w:type="dxa"/>
            </w:tcMar>
            <w:vAlign w:val="center"/>
          </w:tcPr>
          <w:p w14:paraId="696AF964" w14:textId="77777777" w:rsidR="00E465D0" w:rsidRPr="00745B90" w:rsidRDefault="00E465D0" w:rsidP="003003C4">
            <w:pPr>
              <w:jc w:val="right"/>
              <w:rPr>
                <w:sz w:val="20"/>
                <w:szCs w:val="20"/>
              </w:rPr>
            </w:pPr>
            <w:r w:rsidRPr="00745B90">
              <w:rPr>
                <w:rFonts w:eastAsia="Times New Roman"/>
                <w:sz w:val="20"/>
                <w:szCs w:val="20"/>
              </w:rPr>
              <w:t>1.000</w:t>
            </w:r>
          </w:p>
        </w:tc>
        <w:tc>
          <w:tcPr>
            <w:tcW w:w="810" w:type="dxa"/>
            <w:noWrap/>
            <w:tcMar>
              <w:left w:w="58" w:type="dxa"/>
              <w:right w:w="58" w:type="dxa"/>
            </w:tcMar>
            <w:vAlign w:val="center"/>
          </w:tcPr>
          <w:p w14:paraId="47EE550F" w14:textId="77777777" w:rsidR="00E465D0" w:rsidRPr="00745B90" w:rsidRDefault="00E465D0" w:rsidP="003003C4">
            <w:pPr>
              <w:jc w:val="right"/>
              <w:rPr>
                <w:sz w:val="20"/>
                <w:szCs w:val="20"/>
              </w:rPr>
            </w:pPr>
          </w:p>
        </w:tc>
        <w:tc>
          <w:tcPr>
            <w:tcW w:w="774" w:type="dxa"/>
            <w:noWrap/>
            <w:tcMar>
              <w:left w:w="58" w:type="dxa"/>
              <w:right w:w="58" w:type="dxa"/>
            </w:tcMar>
            <w:vAlign w:val="center"/>
          </w:tcPr>
          <w:p w14:paraId="1D41F139" w14:textId="77777777" w:rsidR="00E465D0" w:rsidRPr="00745B90" w:rsidRDefault="00E465D0" w:rsidP="003003C4">
            <w:pPr>
              <w:jc w:val="right"/>
              <w:rPr>
                <w:rFonts w:eastAsia="Times New Roman"/>
                <w:sz w:val="20"/>
                <w:szCs w:val="20"/>
              </w:rPr>
            </w:pPr>
            <w:r w:rsidRPr="00745B90">
              <w:rPr>
                <w:color w:val="000000"/>
                <w:sz w:val="20"/>
                <w:szCs w:val="20"/>
              </w:rPr>
              <w:t>0.009</w:t>
            </w:r>
          </w:p>
        </w:tc>
        <w:tc>
          <w:tcPr>
            <w:tcW w:w="724" w:type="dxa"/>
            <w:tcBorders>
              <w:right w:val="double" w:sz="4" w:space="0" w:color="auto"/>
            </w:tcBorders>
            <w:noWrap/>
            <w:tcMar>
              <w:left w:w="58" w:type="dxa"/>
              <w:right w:w="58" w:type="dxa"/>
            </w:tcMar>
            <w:vAlign w:val="center"/>
          </w:tcPr>
          <w:p w14:paraId="05CFEA35" w14:textId="77777777" w:rsidR="00E465D0" w:rsidRPr="00745B90" w:rsidRDefault="00E465D0" w:rsidP="003003C4">
            <w:pPr>
              <w:jc w:val="right"/>
              <w:rPr>
                <w:rFonts w:eastAsia="Times New Roman"/>
                <w:sz w:val="20"/>
                <w:szCs w:val="20"/>
              </w:rPr>
            </w:pPr>
            <w:r w:rsidRPr="00745B90">
              <w:rPr>
                <w:color w:val="000000"/>
                <w:sz w:val="20"/>
                <w:szCs w:val="20"/>
              </w:rPr>
              <w:t>0.15</w:t>
            </w:r>
          </w:p>
        </w:tc>
      </w:tr>
      <w:tr w:rsidR="00E465D0" w:rsidRPr="00745B90" w14:paraId="6638897C" w14:textId="77777777" w:rsidTr="003003C4">
        <w:trPr>
          <w:trHeight w:val="245"/>
        </w:trPr>
        <w:tc>
          <w:tcPr>
            <w:tcW w:w="4670" w:type="dxa"/>
            <w:tcBorders>
              <w:left w:val="double" w:sz="4" w:space="0" w:color="auto"/>
              <w:bottom w:val="double" w:sz="4" w:space="0" w:color="auto"/>
            </w:tcBorders>
            <w:noWrap/>
            <w:tcMar>
              <w:left w:w="58" w:type="dxa"/>
              <w:right w:w="58" w:type="dxa"/>
            </w:tcMar>
            <w:vAlign w:val="center"/>
          </w:tcPr>
          <w:p w14:paraId="27ED0683" w14:textId="77777777" w:rsidR="00E465D0" w:rsidRPr="00745B90" w:rsidRDefault="00E465D0" w:rsidP="003003C4">
            <w:pPr>
              <w:jc w:val="left"/>
              <w:rPr>
                <w:rFonts w:eastAsia="Times New Roman"/>
                <w:sz w:val="20"/>
                <w:szCs w:val="20"/>
              </w:rPr>
            </w:pPr>
            <w:r w:rsidRPr="00745B90">
              <w:rPr>
                <w:rFonts w:eastAsia="Times New Roman"/>
                <w:sz w:val="20"/>
                <w:szCs w:val="20"/>
              </w:rPr>
              <w:t>Leisure Stops</w:t>
            </w:r>
          </w:p>
        </w:tc>
        <w:tc>
          <w:tcPr>
            <w:tcW w:w="810" w:type="dxa"/>
            <w:tcBorders>
              <w:bottom w:val="double" w:sz="4" w:space="0" w:color="auto"/>
            </w:tcBorders>
            <w:noWrap/>
            <w:tcMar>
              <w:left w:w="58" w:type="dxa"/>
              <w:right w:w="58" w:type="dxa"/>
            </w:tcMar>
            <w:vAlign w:val="center"/>
          </w:tcPr>
          <w:p w14:paraId="4B1F9F77" w14:textId="77777777" w:rsidR="00E465D0" w:rsidRPr="00745B90" w:rsidRDefault="00E465D0" w:rsidP="003003C4">
            <w:pPr>
              <w:jc w:val="right"/>
              <w:rPr>
                <w:rFonts w:eastAsia="Times New Roman"/>
                <w:sz w:val="20"/>
                <w:szCs w:val="20"/>
              </w:rPr>
            </w:pPr>
          </w:p>
        </w:tc>
        <w:tc>
          <w:tcPr>
            <w:tcW w:w="810" w:type="dxa"/>
            <w:tcBorders>
              <w:bottom w:val="double" w:sz="4" w:space="0" w:color="auto"/>
            </w:tcBorders>
            <w:noWrap/>
            <w:tcMar>
              <w:left w:w="58" w:type="dxa"/>
              <w:right w:w="58" w:type="dxa"/>
            </w:tcMar>
            <w:vAlign w:val="center"/>
          </w:tcPr>
          <w:p w14:paraId="173563D6" w14:textId="77777777" w:rsidR="00E465D0" w:rsidRPr="00745B90" w:rsidRDefault="00E465D0" w:rsidP="003003C4">
            <w:pPr>
              <w:jc w:val="right"/>
              <w:rPr>
                <w:rFonts w:eastAsia="Times New Roman"/>
                <w:sz w:val="20"/>
                <w:szCs w:val="20"/>
              </w:rPr>
            </w:pPr>
          </w:p>
        </w:tc>
        <w:tc>
          <w:tcPr>
            <w:tcW w:w="810" w:type="dxa"/>
            <w:tcBorders>
              <w:bottom w:val="double" w:sz="4" w:space="0" w:color="auto"/>
            </w:tcBorders>
            <w:noWrap/>
            <w:tcMar>
              <w:left w:w="58" w:type="dxa"/>
              <w:right w:w="58" w:type="dxa"/>
            </w:tcMar>
            <w:vAlign w:val="center"/>
          </w:tcPr>
          <w:p w14:paraId="7643C6C8" w14:textId="77777777" w:rsidR="00E465D0" w:rsidRPr="00745B90" w:rsidRDefault="00E465D0" w:rsidP="003003C4">
            <w:pPr>
              <w:jc w:val="right"/>
              <w:rPr>
                <w:sz w:val="20"/>
                <w:szCs w:val="20"/>
              </w:rPr>
            </w:pPr>
          </w:p>
        </w:tc>
        <w:tc>
          <w:tcPr>
            <w:tcW w:w="810" w:type="dxa"/>
            <w:tcBorders>
              <w:bottom w:val="double" w:sz="4" w:space="0" w:color="auto"/>
            </w:tcBorders>
            <w:noWrap/>
            <w:tcMar>
              <w:left w:w="58" w:type="dxa"/>
              <w:right w:w="58" w:type="dxa"/>
            </w:tcMar>
            <w:vAlign w:val="center"/>
          </w:tcPr>
          <w:p w14:paraId="212DCFC8" w14:textId="77777777" w:rsidR="00E465D0" w:rsidRPr="00745B90" w:rsidRDefault="00E465D0" w:rsidP="003003C4">
            <w:pPr>
              <w:jc w:val="right"/>
              <w:rPr>
                <w:sz w:val="20"/>
                <w:szCs w:val="20"/>
              </w:rPr>
            </w:pPr>
          </w:p>
        </w:tc>
        <w:tc>
          <w:tcPr>
            <w:tcW w:w="774" w:type="dxa"/>
            <w:tcBorders>
              <w:bottom w:val="double" w:sz="4" w:space="0" w:color="auto"/>
            </w:tcBorders>
            <w:noWrap/>
            <w:tcMar>
              <w:left w:w="58" w:type="dxa"/>
              <w:right w:w="58" w:type="dxa"/>
            </w:tcMar>
            <w:vAlign w:val="center"/>
          </w:tcPr>
          <w:p w14:paraId="7588FF80" w14:textId="77777777" w:rsidR="00E465D0" w:rsidRPr="00745B90" w:rsidRDefault="00E465D0" w:rsidP="003003C4">
            <w:pPr>
              <w:jc w:val="right"/>
              <w:rPr>
                <w:rFonts w:eastAsia="Times New Roman"/>
                <w:sz w:val="20"/>
                <w:szCs w:val="20"/>
              </w:rPr>
            </w:pPr>
            <w:r w:rsidRPr="00745B90">
              <w:rPr>
                <w:rFonts w:eastAsia="Times New Roman"/>
                <w:sz w:val="20"/>
                <w:szCs w:val="20"/>
              </w:rPr>
              <w:t>1.000</w:t>
            </w:r>
          </w:p>
        </w:tc>
        <w:tc>
          <w:tcPr>
            <w:tcW w:w="724" w:type="dxa"/>
            <w:tcBorders>
              <w:bottom w:val="double" w:sz="4" w:space="0" w:color="auto"/>
              <w:right w:val="double" w:sz="4" w:space="0" w:color="auto"/>
            </w:tcBorders>
            <w:noWrap/>
            <w:tcMar>
              <w:left w:w="58" w:type="dxa"/>
              <w:right w:w="58" w:type="dxa"/>
            </w:tcMar>
            <w:vAlign w:val="center"/>
          </w:tcPr>
          <w:p w14:paraId="23BEB528" w14:textId="77777777" w:rsidR="00E465D0" w:rsidRPr="00745B90" w:rsidRDefault="00E465D0" w:rsidP="003003C4">
            <w:pPr>
              <w:jc w:val="right"/>
              <w:rPr>
                <w:rFonts w:eastAsia="Times New Roman"/>
                <w:sz w:val="20"/>
                <w:szCs w:val="20"/>
              </w:rPr>
            </w:pPr>
          </w:p>
        </w:tc>
      </w:tr>
      <w:bookmarkEnd w:id="31"/>
    </w:tbl>
    <w:p w14:paraId="21FF3E9A" w14:textId="77777777" w:rsidR="00E465D0" w:rsidRPr="00E465D0" w:rsidRDefault="00E465D0" w:rsidP="00E465D0">
      <w:r w:rsidRPr="00E465D0">
        <w:br w:type="page"/>
      </w:r>
    </w:p>
    <w:tbl>
      <w:tblPr>
        <w:tblStyle w:val="TableGrid"/>
        <w:tblpPr w:leftFromText="180" w:rightFromText="180" w:vertAnchor="page" w:horzAnchor="margin" w:tblpY="1791"/>
        <w:tblW w:w="8946" w:type="dxa"/>
        <w:tblLook w:val="04A0" w:firstRow="1" w:lastRow="0" w:firstColumn="1" w:lastColumn="0" w:noHBand="0" w:noVBand="1"/>
      </w:tblPr>
      <w:tblGrid>
        <w:gridCol w:w="5205"/>
        <w:gridCol w:w="1041"/>
        <w:gridCol w:w="854"/>
        <w:gridCol w:w="1846"/>
      </w:tblGrid>
      <w:tr w:rsidR="00E465D0" w:rsidRPr="003003C4" w14:paraId="3467B52B" w14:textId="77777777" w:rsidTr="003003C4">
        <w:trPr>
          <w:trHeight w:val="576"/>
        </w:trPr>
        <w:tc>
          <w:tcPr>
            <w:tcW w:w="5205" w:type="dxa"/>
            <w:vMerge w:val="restart"/>
            <w:tcBorders>
              <w:top w:val="double" w:sz="4" w:space="0" w:color="auto"/>
              <w:left w:val="double" w:sz="4" w:space="0" w:color="auto"/>
            </w:tcBorders>
            <w:shd w:val="clear" w:color="auto" w:fill="D9D9D9" w:themeFill="background1" w:themeFillShade="D9"/>
            <w:vAlign w:val="center"/>
          </w:tcPr>
          <w:p w14:paraId="58116AA4" w14:textId="77777777" w:rsidR="00E465D0" w:rsidRPr="003003C4" w:rsidRDefault="00E465D0" w:rsidP="003003C4">
            <w:pPr>
              <w:jc w:val="center"/>
              <w:rPr>
                <w:rFonts w:eastAsia="Calibri"/>
                <w:b/>
                <w:sz w:val="22"/>
                <w:szCs w:val="22"/>
              </w:rPr>
            </w:pPr>
            <w:r w:rsidRPr="003003C4">
              <w:rPr>
                <w:rFonts w:eastAsia="Calibri"/>
                <w:b/>
                <w:sz w:val="22"/>
                <w:szCs w:val="22"/>
              </w:rPr>
              <w:lastRenderedPageBreak/>
              <w:t xml:space="preserve">Explanatory Variables </w:t>
            </w:r>
          </w:p>
          <w:p w14:paraId="2F350778" w14:textId="77777777" w:rsidR="00E465D0" w:rsidRPr="003003C4" w:rsidRDefault="00E465D0" w:rsidP="003003C4">
            <w:pPr>
              <w:jc w:val="center"/>
              <w:rPr>
                <w:rFonts w:eastAsia="Calibri"/>
                <w:b/>
                <w:sz w:val="22"/>
                <w:szCs w:val="22"/>
              </w:rPr>
            </w:pPr>
            <w:r w:rsidRPr="003003C4">
              <w:rPr>
                <w:rFonts w:eastAsia="Calibri"/>
                <w:b/>
                <w:sz w:val="22"/>
                <w:szCs w:val="22"/>
              </w:rPr>
              <w:t>(base category)</w:t>
            </w:r>
          </w:p>
        </w:tc>
        <w:tc>
          <w:tcPr>
            <w:tcW w:w="1895" w:type="dxa"/>
            <w:gridSpan w:val="2"/>
            <w:tcBorders>
              <w:top w:val="double" w:sz="4" w:space="0" w:color="auto"/>
            </w:tcBorders>
            <w:shd w:val="clear" w:color="auto" w:fill="D9D9D9" w:themeFill="background1" w:themeFillShade="D9"/>
            <w:vAlign w:val="center"/>
          </w:tcPr>
          <w:p w14:paraId="206C6408" w14:textId="77777777" w:rsidR="00E465D0" w:rsidRPr="003003C4" w:rsidRDefault="00E465D0" w:rsidP="003003C4">
            <w:pPr>
              <w:jc w:val="center"/>
              <w:rPr>
                <w:rFonts w:eastAsia="Calibri"/>
                <w:b/>
                <w:sz w:val="22"/>
                <w:szCs w:val="22"/>
              </w:rPr>
            </w:pPr>
            <w:r w:rsidRPr="003003C4">
              <w:rPr>
                <w:rFonts w:eastAsia="Calibri"/>
                <w:b/>
                <w:sz w:val="22"/>
                <w:szCs w:val="22"/>
              </w:rPr>
              <w:t>NT Segment</w:t>
            </w:r>
          </w:p>
          <w:p w14:paraId="79464DC9" w14:textId="77777777" w:rsidR="00E465D0" w:rsidRPr="003003C4" w:rsidRDefault="00E465D0" w:rsidP="003003C4">
            <w:pPr>
              <w:jc w:val="center"/>
              <w:rPr>
                <w:rFonts w:eastAsia="Calibri"/>
                <w:b/>
                <w:sz w:val="22"/>
                <w:szCs w:val="22"/>
              </w:rPr>
            </w:pPr>
            <w:r w:rsidRPr="003003C4">
              <w:rPr>
                <w:rFonts w:eastAsia="Calibri"/>
                <w:b/>
                <w:sz w:val="22"/>
                <w:szCs w:val="22"/>
              </w:rPr>
              <w:t>“Players”</w:t>
            </w:r>
          </w:p>
        </w:tc>
        <w:tc>
          <w:tcPr>
            <w:tcW w:w="1846" w:type="dxa"/>
            <w:vMerge w:val="restart"/>
            <w:tcBorders>
              <w:top w:val="double" w:sz="4" w:space="0" w:color="auto"/>
              <w:right w:val="double" w:sz="4" w:space="0" w:color="auto"/>
            </w:tcBorders>
            <w:shd w:val="clear" w:color="auto" w:fill="D9D9D9" w:themeFill="background1" w:themeFillShade="D9"/>
            <w:vAlign w:val="center"/>
          </w:tcPr>
          <w:p w14:paraId="192311C8" w14:textId="77777777" w:rsidR="00E465D0" w:rsidRPr="003003C4" w:rsidRDefault="00E465D0" w:rsidP="003003C4">
            <w:pPr>
              <w:jc w:val="center"/>
              <w:rPr>
                <w:rFonts w:eastAsia="Calibri"/>
                <w:b/>
                <w:sz w:val="22"/>
                <w:szCs w:val="22"/>
              </w:rPr>
            </w:pPr>
            <w:r w:rsidRPr="003003C4">
              <w:rPr>
                <w:rFonts w:eastAsia="Calibri"/>
                <w:b/>
                <w:sz w:val="22"/>
                <w:szCs w:val="22"/>
              </w:rPr>
              <w:t>TN Segment</w:t>
            </w:r>
          </w:p>
          <w:p w14:paraId="716DDF93" w14:textId="77777777" w:rsidR="00E465D0" w:rsidRPr="003003C4" w:rsidRDefault="00E465D0" w:rsidP="003003C4">
            <w:pPr>
              <w:jc w:val="center"/>
              <w:rPr>
                <w:rFonts w:eastAsia="Calibri"/>
                <w:b/>
                <w:sz w:val="22"/>
                <w:szCs w:val="22"/>
              </w:rPr>
            </w:pPr>
            <w:r w:rsidRPr="003003C4">
              <w:rPr>
                <w:rFonts w:eastAsia="Calibri"/>
                <w:b/>
                <w:sz w:val="22"/>
                <w:szCs w:val="22"/>
              </w:rPr>
              <w:t>“Workers”</w:t>
            </w:r>
          </w:p>
          <w:p w14:paraId="1F26F3E7" w14:textId="77777777" w:rsidR="00E465D0" w:rsidRPr="003003C4" w:rsidRDefault="00E465D0" w:rsidP="003003C4">
            <w:pPr>
              <w:jc w:val="center"/>
              <w:rPr>
                <w:rFonts w:eastAsia="Calibri"/>
                <w:b/>
                <w:sz w:val="22"/>
                <w:szCs w:val="22"/>
              </w:rPr>
            </w:pPr>
            <w:r w:rsidRPr="003003C4">
              <w:rPr>
                <w:rFonts w:eastAsia="Calibri"/>
                <w:b/>
                <w:sz w:val="22"/>
                <w:szCs w:val="22"/>
              </w:rPr>
              <w:t>(base)</w:t>
            </w:r>
          </w:p>
        </w:tc>
      </w:tr>
      <w:tr w:rsidR="00E465D0" w:rsidRPr="003003C4" w14:paraId="48389295" w14:textId="77777777" w:rsidTr="003003C4">
        <w:trPr>
          <w:trHeight w:val="288"/>
        </w:trPr>
        <w:tc>
          <w:tcPr>
            <w:tcW w:w="5205" w:type="dxa"/>
            <w:vMerge/>
            <w:tcBorders>
              <w:left w:val="double" w:sz="4" w:space="0" w:color="auto"/>
              <w:bottom w:val="double" w:sz="4" w:space="0" w:color="auto"/>
            </w:tcBorders>
            <w:shd w:val="clear" w:color="auto" w:fill="BFBFBF"/>
            <w:vAlign w:val="center"/>
          </w:tcPr>
          <w:p w14:paraId="099DFAB5" w14:textId="77777777" w:rsidR="00E465D0" w:rsidRPr="003003C4" w:rsidRDefault="00E465D0" w:rsidP="003003C4">
            <w:pPr>
              <w:jc w:val="center"/>
              <w:rPr>
                <w:rFonts w:eastAsia="Calibri"/>
                <w:b/>
                <w:sz w:val="22"/>
                <w:szCs w:val="22"/>
              </w:rPr>
            </w:pPr>
          </w:p>
        </w:tc>
        <w:tc>
          <w:tcPr>
            <w:tcW w:w="1041" w:type="dxa"/>
            <w:tcBorders>
              <w:bottom w:val="double" w:sz="4" w:space="0" w:color="auto"/>
            </w:tcBorders>
            <w:shd w:val="clear" w:color="auto" w:fill="D9D9D9" w:themeFill="background1" w:themeFillShade="D9"/>
            <w:vAlign w:val="center"/>
          </w:tcPr>
          <w:p w14:paraId="0CA79B31" w14:textId="77777777" w:rsidR="00E465D0" w:rsidRPr="003003C4" w:rsidRDefault="00E465D0" w:rsidP="003003C4">
            <w:pPr>
              <w:jc w:val="center"/>
              <w:rPr>
                <w:rFonts w:eastAsia="Calibri"/>
                <w:b/>
                <w:sz w:val="22"/>
                <w:szCs w:val="22"/>
              </w:rPr>
            </w:pPr>
            <w:r w:rsidRPr="003003C4">
              <w:rPr>
                <w:rFonts w:eastAsia="Calibri"/>
                <w:b/>
                <w:sz w:val="22"/>
                <w:szCs w:val="22"/>
              </w:rPr>
              <w:t>Coeff.</w:t>
            </w:r>
          </w:p>
        </w:tc>
        <w:tc>
          <w:tcPr>
            <w:tcW w:w="854" w:type="dxa"/>
            <w:tcBorders>
              <w:bottom w:val="double" w:sz="4" w:space="0" w:color="auto"/>
            </w:tcBorders>
            <w:shd w:val="clear" w:color="auto" w:fill="D9D9D9" w:themeFill="background1" w:themeFillShade="D9"/>
            <w:vAlign w:val="center"/>
          </w:tcPr>
          <w:p w14:paraId="14F96B70" w14:textId="77777777" w:rsidR="00E465D0" w:rsidRPr="003003C4" w:rsidRDefault="00E465D0" w:rsidP="003003C4">
            <w:pPr>
              <w:jc w:val="center"/>
              <w:rPr>
                <w:rFonts w:eastAsia="Calibri"/>
                <w:b/>
                <w:sz w:val="22"/>
                <w:szCs w:val="22"/>
              </w:rPr>
            </w:pPr>
            <w:r w:rsidRPr="003003C4">
              <w:rPr>
                <w:rFonts w:eastAsia="Calibri"/>
                <w:b/>
                <w:sz w:val="22"/>
                <w:szCs w:val="22"/>
              </w:rPr>
              <w:t>t-stat</w:t>
            </w:r>
          </w:p>
        </w:tc>
        <w:tc>
          <w:tcPr>
            <w:tcW w:w="1846" w:type="dxa"/>
            <w:vMerge/>
            <w:tcBorders>
              <w:bottom w:val="double" w:sz="4" w:space="0" w:color="auto"/>
              <w:right w:val="double" w:sz="4" w:space="0" w:color="auto"/>
            </w:tcBorders>
            <w:shd w:val="clear" w:color="auto" w:fill="BFBFBF"/>
          </w:tcPr>
          <w:p w14:paraId="3F9B69D9" w14:textId="77777777" w:rsidR="00E465D0" w:rsidRPr="003003C4" w:rsidRDefault="00E465D0" w:rsidP="003003C4">
            <w:pPr>
              <w:rPr>
                <w:rFonts w:eastAsia="Calibri"/>
                <w:b/>
                <w:sz w:val="22"/>
                <w:szCs w:val="22"/>
              </w:rPr>
            </w:pPr>
          </w:p>
        </w:tc>
      </w:tr>
      <w:tr w:rsidR="00E465D0" w:rsidRPr="003003C4" w14:paraId="2CC62D9F" w14:textId="77777777" w:rsidTr="003003C4">
        <w:trPr>
          <w:trHeight w:val="317"/>
        </w:trPr>
        <w:tc>
          <w:tcPr>
            <w:tcW w:w="5205" w:type="dxa"/>
            <w:tcBorders>
              <w:top w:val="double" w:sz="4" w:space="0" w:color="auto"/>
              <w:left w:val="double" w:sz="4" w:space="0" w:color="auto"/>
              <w:bottom w:val="nil"/>
            </w:tcBorders>
            <w:vAlign w:val="center"/>
          </w:tcPr>
          <w:p w14:paraId="3D5C356C" w14:textId="77777777" w:rsidR="00E465D0" w:rsidRPr="003003C4" w:rsidRDefault="00E465D0" w:rsidP="003003C4">
            <w:pPr>
              <w:jc w:val="left"/>
              <w:rPr>
                <w:rFonts w:eastAsia="Calibri"/>
                <w:b/>
                <w:i/>
                <w:sz w:val="22"/>
                <w:szCs w:val="22"/>
                <w:u w:val="single"/>
              </w:rPr>
            </w:pPr>
            <w:r w:rsidRPr="003003C4">
              <w:rPr>
                <w:rFonts w:eastAsia="Calibri"/>
                <w:b/>
                <w:i/>
                <w:sz w:val="22"/>
                <w:szCs w:val="22"/>
                <w:u w:val="single"/>
              </w:rPr>
              <w:t>Individual and Household-level Characteristics</w:t>
            </w:r>
          </w:p>
        </w:tc>
        <w:tc>
          <w:tcPr>
            <w:tcW w:w="1041" w:type="dxa"/>
            <w:tcBorders>
              <w:top w:val="double" w:sz="4" w:space="0" w:color="auto"/>
              <w:bottom w:val="nil"/>
            </w:tcBorders>
            <w:vAlign w:val="center"/>
          </w:tcPr>
          <w:p w14:paraId="157A3B2A" w14:textId="77777777" w:rsidR="00E465D0" w:rsidRPr="003003C4" w:rsidRDefault="00E465D0" w:rsidP="003003C4">
            <w:pPr>
              <w:jc w:val="right"/>
              <w:rPr>
                <w:rFonts w:eastAsia="Calibri"/>
                <w:sz w:val="22"/>
                <w:szCs w:val="22"/>
              </w:rPr>
            </w:pPr>
          </w:p>
        </w:tc>
        <w:tc>
          <w:tcPr>
            <w:tcW w:w="854" w:type="dxa"/>
            <w:tcBorders>
              <w:top w:val="double" w:sz="4" w:space="0" w:color="auto"/>
              <w:bottom w:val="nil"/>
            </w:tcBorders>
            <w:vAlign w:val="center"/>
          </w:tcPr>
          <w:p w14:paraId="0D3C8650" w14:textId="77777777" w:rsidR="00E465D0" w:rsidRPr="003003C4" w:rsidRDefault="00E465D0" w:rsidP="003003C4">
            <w:pPr>
              <w:jc w:val="right"/>
              <w:rPr>
                <w:rFonts w:eastAsia="Calibri"/>
                <w:sz w:val="22"/>
                <w:szCs w:val="22"/>
              </w:rPr>
            </w:pPr>
          </w:p>
        </w:tc>
        <w:tc>
          <w:tcPr>
            <w:tcW w:w="1846" w:type="dxa"/>
            <w:tcBorders>
              <w:top w:val="double" w:sz="4" w:space="0" w:color="auto"/>
              <w:bottom w:val="nil"/>
              <w:right w:val="double" w:sz="4" w:space="0" w:color="auto"/>
            </w:tcBorders>
            <w:vAlign w:val="center"/>
          </w:tcPr>
          <w:p w14:paraId="65F96C8C" w14:textId="77777777" w:rsidR="00E465D0" w:rsidRPr="003003C4" w:rsidRDefault="00E465D0" w:rsidP="003003C4">
            <w:pPr>
              <w:jc w:val="center"/>
              <w:rPr>
                <w:rFonts w:eastAsia="Calibri"/>
                <w:sz w:val="22"/>
                <w:szCs w:val="22"/>
              </w:rPr>
            </w:pPr>
          </w:p>
        </w:tc>
      </w:tr>
      <w:tr w:rsidR="00E465D0" w:rsidRPr="003003C4" w14:paraId="3BDD8059" w14:textId="77777777" w:rsidTr="003003C4">
        <w:trPr>
          <w:trHeight w:val="317"/>
        </w:trPr>
        <w:tc>
          <w:tcPr>
            <w:tcW w:w="5205" w:type="dxa"/>
            <w:tcBorders>
              <w:top w:val="nil"/>
              <w:left w:val="double" w:sz="4" w:space="0" w:color="auto"/>
              <w:bottom w:val="nil"/>
            </w:tcBorders>
            <w:vAlign w:val="center"/>
          </w:tcPr>
          <w:p w14:paraId="49D102C7" w14:textId="1FD2B919" w:rsidR="00E465D0" w:rsidRPr="003003C4" w:rsidRDefault="00E465D0" w:rsidP="003003C4">
            <w:pPr>
              <w:jc w:val="left"/>
              <w:rPr>
                <w:rFonts w:eastAsia="Calibri"/>
                <w:b/>
                <w:i/>
                <w:sz w:val="22"/>
                <w:szCs w:val="22"/>
              </w:rPr>
            </w:pPr>
            <w:bookmarkStart w:id="32" w:name="_Hlk137713598"/>
            <w:r w:rsidRPr="003003C4">
              <w:rPr>
                <w:rFonts w:eastAsia="Calibri"/>
                <w:b/>
                <w:sz w:val="22"/>
                <w:szCs w:val="22"/>
              </w:rPr>
              <w:t xml:space="preserve">Lifecycle </w:t>
            </w:r>
            <w:r w:rsidR="003003C4">
              <w:rPr>
                <w:rFonts w:eastAsia="Calibri"/>
                <w:b/>
                <w:sz w:val="22"/>
                <w:szCs w:val="22"/>
              </w:rPr>
              <w:t>V</w:t>
            </w:r>
            <w:r w:rsidRPr="003003C4">
              <w:rPr>
                <w:rFonts w:eastAsia="Calibri"/>
                <w:b/>
                <w:sz w:val="22"/>
                <w:szCs w:val="22"/>
              </w:rPr>
              <w:t>ariables</w:t>
            </w:r>
            <w:bookmarkEnd w:id="32"/>
          </w:p>
        </w:tc>
        <w:tc>
          <w:tcPr>
            <w:tcW w:w="1041" w:type="dxa"/>
            <w:tcBorders>
              <w:top w:val="nil"/>
              <w:bottom w:val="nil"/>
            </w:tcBorders>
            <w:vAlign w:val="center"/>
          </w:tcPr>
          <w:p w14:paraId="72647A36" w14:textId="77777777" w:rsidR="00E465D0" w:rsidRPr="003003C4" w:rsidRDefault="00E465D0" w:rsidP="003003C4">
            <w:pPr>
              <w:jc w:val="right"/>
              <w:rPr>
                <w:rFonts w:eastAsia="Calibri"/>
                <w:sz w:val="22"/>
                <w:szCs w:val="22"/>
              </w:rPr>
            </w:pPr>
          </w:p>
        </w:tc>
        <w:tc>
          <w:tcPr>
            <w:tcW w:w="854" w:type="dxa"/>
            <w:tcBorders>
              <w:top w:val="nil"/>
              <w:bottom w:val="nil"/>
            </w:tcBorders>
            <w:vAlign w:val="center"/>
          </w:tcPr>
          <w:p w14:paraId="13B1555E" w14:textId="77777777" w:rsidR="00E465D0" w:rsidRPr="003003C4" w:rsidRDefault="00E465D0" w:rsidP="003003C4">
            <w:pPr>
              <w:jc w:val="right"/>
              <w:rPr>
                <w:rFonts w:eastAsia="Calibri"/>
                <w:sz w:val="22"/>
                <w:szCs w:val="22"/>
              </w:rPr>
            </w:pPr>
          </w:p>
        </w:tc>
        <w:tc>
          <w:tcPr>
            <w:tcW w:w="1846" w:type="dxa"/>
            <w:tcBorders>
              <w:top w:val="nil"/>
              <w:bottom w:val="nil"/>
              <w:right w:val="double" w:sz="4" w:space="0" w:color="auto"/>
            </w:tcBorders>
            <w:vAlign w:val="center"/>
          </w:tcPr>
          <w:p w14:paraId="1524B26B" w14:textId="77777777" w:rsidR="00E465D0" w:rsidRPr="003003C4" w:rsidRDefault="00E465D0" w:rsidP="003003C4">
            <w:pPr>
              <w:jc w:val="center"/>
              <w:rPr>
                <w:rFonts w:eastAsia="Calibri"/>
                <w:sz w:val="22"/>
                <w:szCs w:val="22"/>
              </w:rPr>
            </w:pPr>
          </w:p>
        </w:tc>
      </w:tr>
      <w:tr w:rsidR="00E465D0" w:rsidRPr="003003C4" w14:paraId="2C97C216" w14:textId="77777777" w:rsidTr="003003C4">
        <w:trPr>
          <w:trHeight w:val="317"/>
        </w:trPr>
        <w:tc>
          <w:tcPr>
            <w:tcW w:w="5205" w:type="dxa"/>
            <w:tcBorders>
              <w:top w:val="nil"/>
              <w:left w:val="double" w:sz="4" w:space="0" w:color="auto"/>
              <w:bottom w:val="nil"/>
            </w:tcBorders>
            <w:vAlign w:val="center"/>
          </w:tcPr>
          <w:p w14:paraId="3B91A921" w14:textId="77777777" w:rsidR="00E465D0" w:rsidRPr="003003C4" w:rsidRDefault="00E465D0" w:rsidP="003003C4">
            <w:pPr>
              <w:jc w:val="left"/>
              <w:rPr>
                <w:rFonts w:eastAsia="Calibri"/>
                <w:b/>
                <w:i/>
                <w:sz w:val="22"/>
                <w:szCs w:val="22"/>
              </w:rPr>
            </w:pPr>
            <w:r w:rsidRPr="003003C4">
              <w:rPr>
                <w:rFonts w:eastAsia="Calibri"/>
                <w:bCs/>
                <w:sz w:val="22"/>
                <w:szCs w:val="22"/>
              </w:rPr>
              <w:t xml:space="preserve"> Single Parent</w:t>
            </w:r>
          </w:p>
        </w:tc>
        <w:tc>
          <w:tcPr>
            <w:tcW w:w="1041" w:type="dxa"/>
            <w:tcBorders>
              <w:top w:val="nil"/>
              <w:bottom w:val="nil"/>
            </w:tcBorders>
            <w:vAlign w:val="center"/>
          </w:tcPr>
          <w:p w14:paraId="5E1225D0" w14:textId="77777777" w:rsidR="00E465D0" w:rsidRPr="003003C4" w:rsidRDefault="00E465D0" w:rsidP="003003C4">
            <w:pPr>
              <w:jc w:val="right"/>
              <w:rPr>
                <w:rFonts w:eastAsia="Calibri"/>
                <w:sz w:val="22"/>
                <w:szCs w:val="22"/>
              </w:rPr>
            </w:pPr>
            <w:r w:rsidRPr="003003C4">
              <w:rPr>
                <w:color w:val="000000"/>
                <w:sz w:val="22"/>
                <w:szCs w:val="22"/>
              </w:rPr>
              <w:t>-0.665</w:t>
            </w:r>
          </w:p>
        </w:tc>
        <w:tc>
          <w:tcPr>
            <w:tcW w:w="854" w:type="dxa"/>
            <w:tcBorders>
              <w:top w:val="nil"/>
              <w:bottom w:val="nil"/>
            </w:tcBorders>
            <w:vAlign w:val="center"/>
          </w:tcPr>
          <w:p w14:paraId="794179B2" w14:textId="77777777" w:rsidR="00E465D0" w:rsidRPr="003003C4" w:rsidRDefault="00E465D0" w:rsidP="003003C4">
            <w:pPr>
              <w:jc w:val="right"/>
              <w:rPr>
                <w:rFonts w:eastAsia="Calibri"/>
                <w:sz w:val="22"/>
                <w:szCs w:val="22"/>
              </w:rPr>
            </w:pPr>
            <w:r w:rsidRPr="003003C4">
              <w:rPr>
                <w:color w:val="000000"/>
                <w:sz w:val="22"/>
                <w:szCs w:val="22"/>
              </w:rPr>
              <w:t>-2.16</w:t>
            </w:r>
          </w:p>
        </w:tc>
        <w:tc>
          <w:tcPr>
            <w:tcW w:w="1846" w:type="dxa"/>
            <w:tcBorders>
              <w:top w:val="nil"/>
              <w:bottom w:val="nil"/>
              <w:right w:val="double" w:sz="4" w:space="0" w:color="auto"/>
            </w:tcBorders>
            <w:vAlign w:val="center"/>
          </w:tcPr>
          <w:p w14:paraId="5FE69966" w14:textId="77777777" w:rsidR="00E465D0" w:rsidRPr="003003C4" w:rsidRDefault="00E465D0" w:rsidP="003003C4">
            <w:pPr>
              <w:jc w:val="center"/>
              <w:rPr>
                <w:rFonts w:eastAsia="Calibri"/>
                <w:sz w:val="22"/>
                <w:szCs w:val="22"/>
              </w:rPr>
            </w:pPr>
            <w:r w:rsidRPr="003003C4">
              <w:rPr>
                <w:rFonts w:eastAsia="Calibri"/>
                <w:sz w:val="22"/>
                <w:szCs w:val="22"/>
              </w:rPr>
              <w:t>--</w:t>
            </w:r>
          </w:p>
        </w:tc>
      </w:tr>
      <w:tr w:rsidR="00E465D0" w:rsidRPr="003003C4" w14:paraId="29D6EB49" w14:textId="77777777" w:rsidTr="003003C4">
        <w:trPr>
          <w:trHeight w:val="317"/>
        </w:trPr>
        <w:tc>
          <w:tcPr>
            <w:tcW w:w="5205" w:type="dxa"/>
            <w:tcBorders>
              <w:top w:val="nil"/>
              <w:left w:val="double" w:sz="4" w:space="0" w:color="auto"/>
              <w:bottom w:val="nil"/>
            </w:tcBorders>
            <w:vAlign w:val="center"/>
          </w:tcPr>
          <w:p w14:paraId="54FD8C46" w14:textId="77777777" w:rsidR="00E465D0" w:rsidRPr="003003C4" w:rsidRDefault="00E465D0" w:rsidP="003003C4">
            <w:pPr>
              <w:jc w:val="left"/>
              <w:rPr>
                <w:rFonts w:eastAsia="Calibri"/>
                <w:b/>
                <w:sz w:val="22"/>
                <w:szCs w:val="22"/>
              </w:rPr>
            </w:pPr>
            <w:r w:rsidRPr="003003C4">
              <w:rPr>
                <w:rFonts w:eastAsia="Calibri"/>
                <w:b/>
                <w:sz w:val="22"/>
                <w:szCs w:val="22"/>
              </w:rPr>
              <w:t>Age (younger than 35 and older than 44)</w:t>
            </w:r>
          </w:p>
        </w:tc>
        <w:tc>
          <w:tcPr>
            <w:tcW w:w="1041" w:type="dxa"/>
            <w:tcBorders>
              <w:top w:val="nil"/>
              <w:bottom w:val="nil"/>
            </w:tcBorders>
            <w:vAlign w:val="center"/>
          </w:tcPr>
          <w:p w14:paraId="1DFB41CF" w14:textId="77777777" w:rsidR="00E465D0" w:rsidRPr="003003C4" w:rsidRDefault="00E465D0" w:rsidP="003003C4">
            <w:pPr>
              <w:jc w:val="right"/>
              <w:rPr>
                <w:rFonts w:eastAsia="Calibri"/>
                <w:sz w:val="22"/>
                <w:szCs w:val="22"/>
              </w:rPr>
            </w:pPr>
          </w:p>
        </w:tc>
        <w:tc>
          <w:tcPr>
            <w:tcW w:w="854" w:type="dxa"/>
            <w:tcBorders>
              <w:top w:val="nil"/>
              <w:bottom w:val="nil"/>
            </w:tcBorders>
            <w:vAlign w:val="center"/>
          </w:tcPr>
          <w:p w14:paraId="4B1856A6" w14:textId="77777777" w:rsidR="00E465D0" w:rsidRPr="003003C4" w:rsidRDefault="00E465D0" w:rsidP="003003C4">
            <w:pPr>
              <w:jc w:val="right"/>
              <w:rPr>
                <w:rFonts w:eastAsia="Calibri"/>
                <w:sz w:val="22"/>
                <w:szCs w:val="22"/>
              </w:rPr>
            </w:pPr>
          </w:p>
        </w:tc>
        <w:tc>
          <w:tcPr>
            <w:tcW w:w="1846" w:type="dxa"/>
            <w:tcBorders>
              <w:top w:val="nil"/>
              <w:bottom w:val="nil"/>
              <w:right w:val="double" w:sz="4" w:space="0" w:color="auto"/>
            </w:tcBorders>
            <w:vAlign w:val="center"/>
          </w:tcPr>
          <w:p w14:paraId="7FC0FDD6" w14:textId="77777777" w:rsidR="00E465D0" w:rsidRPr="003003C4" w:rsidRDefault="00E465D0" w:rsidP="003003C4">
            <w:pPr>
              <w:jc w:val="center"/>
              <w:rPr>
                <w:rFonts w:eastAsia="Calibri"/>
                <w:sz w:val="22"/>
                <w:szCs w:val="22"/>
              </w:rPr>
            </w:pPr>
          </w:p>
        </w:tc>
      </w:tr>
      <w:tr w:rsidR="00E465D0" w:rsidRPr="003003C4" w14:paraId="6DED0E55" w14:textId="77777777" w:rsidTr="003003C4">
        <w:trPr>
          <w:trHeight w:val="317"/>
        </w:trPr>
        <w:tc>
          <w:tcPr>
            <w:tcW w:w="5205" w:type="dxa"/>
            <w:tcBorders>
              <w:top w:val="nil"/>
              <w:left w:val="double" w:sz="4" w:space="0" w:color="auto"/>
              <w:bottom w:val="nil"/>
            </w:tcBorders>
            <w:vAlign w:val="center"/>
          </w:tcPr>
          <w:p w14:paraId="350D22C4" w14:textId="77777777" w:rsidR="00E465D0" w:rsidRPr="003003C4" w:rsidRDefault="00E465D0" w:rsidP="003003C4">
            <w:pPr>
              <w:jc w:val="left"/>
              <w:rPr>
                <w:rFonts w:eastAsia="Calibri"/>
                <w:bCs/>
                <w:sz w:val="22"/>
                <w:szCs w:val="22"/>
              </w:rPr>
            </w:pPr>
            <w:r w:rsidRPr="003003C4">
              <w:rPr>
                <w:rFonts w:eastAsia="Calibri"/>
                <w:bCs/>
                <w:sz w:val="22"/>
                <w:szCs w:val="22"/>
              </w:rPr>
              <w:t xml:space="preserve"> 35 to 44 years old</w:t>
            </w:r>
          </w:p>
        </w:tc>
        <w:tc>
          <w:tcPr>
            <w:tcW w:w="1041" w:type="dxa"/>
            <w:tcBorders>
              <w:top w:val="nil"/>
              <w:bottom w:val="nil"/>
            </w:tcBorders>
            <w:vAlign w:val="center"/>
          </w:tcPr>
          <w:p w14:paraId="53FB8B79" w14:textId="77777777" w:rsidR="00E465D0" w:rsidRPr="003003C4" w:rsidRDefault="00E465D0" w:rsidP="003003C4">
            <w:pPr>
              <w:jc w:val="right"/>
              <w:rPr>
                <w:rFonts w:eastAsia="Calibri"/>
                <w:sz w:val="22"/>
                <w:szCs w:val="22"/>
              </w:rPr>
            </w:pPr>
            <w:r w:rsidRPr="003003C4">
              <w:rPr>
                <w:color w:val="000000"/>
                <w:sz w:val="22"/>
                <w:szCs w:val="22"/>
              </w:rPr>
              <w:t>0.423</w:t>
            </w:r>
          </w:p>
        </w:tc>
        <w:tc>
          <w:tcPr>
            <w:tcW w:w="854" w:type="dxa"/>
            <w:tcBorders>
              <w:top w:val="nil"/>
              <w:bottom w:val="nil"/>
            </w:tcBorders>
            <w:vAlign w:val="center"/>
          </w:tcPr>
          <w:p w14:paraId="74228BBA" w14:textId="77777777" w:rsidR="00E465D0" w:rsidRPr="003003C4" w:rsidRDefault="00E465D0" w:rsidP="003003C4">
            <w:pPr>
              <w:jc w:val="right"/>
              <w:rPr>
                <w:rFonts w:eastAsia="Calibri"/>
                <w:sz w:val="22"/>
                <w:szCs w:val="22"/>
              </w:rPr>
            </w:pPr>
            <w:r w:rsidRPr="003003C4">
              <w:rPr>
                <w:color w:val="000000"/>
                <w:sz w:val="22"/>
                <w:szCs w:val="22"/>
              </w:rPr>
              <w:t>2.51</w:t>
            </w:r>
          </w:p>
        </w:tc>
        <w:tc>
          <w:tcPr>
            <w:tcW w:w="1846" w:type="dxa"/>
            <w:tcBorders>
              <w:top w:val="nil"/>
              <w:bottom w:val="nil"/>
              <w:right w:val="double" w:sz="4" w:space="0" w:color="auto"/>
            </w:tcBorders>
            <w:vAlign w:val="center"/>
          </w:tcPr>
          <w:p w14:paraId="6C57588D" w14:textId="77777777" w:rsidR="00E465D0" w:rsidRPr="003003C4" w:rsidRDefault="00E465D0" w:rsidP="003003C4">
            <w:pPr>
              <w:jc w:val="center"/>
              <w:rPr>
                <w:rFonts w:eastAsia="Calibri"/>
                <w:sz w:val="22"/>
                <w:szCs w:val="22"/>
              </w:rPr>
            </w:pPr>
            <w:r w:rsidRPr="003003C4">
              <w:rPr>
                <w:rFonts w:eastAsia="Calibri"/>
                <w:sz w:val="22"/>
                <w:szCs w:val="22"/>
              </w:rPr>
              <w:t>--</w:t>
            </w:r>
          </w:p>
        </w:tc>
      </w:tr>
      <w:tr w:rsidR="00E465D0" w:rsidRPr="003003C4" w14:paraId="646D0455" w14:textId="77777777" w:rsidTr="003003C4">
        <w:trPr>
          <w:trHeight w:val="317"/>
        </w:trPr>
        <w:tc>
          <w:tcPr>
            <w:tcW w:w="5205" w:type="dxa"/>
            <w:tcBorders>
              <w:top w:val="nil"/>
              <w:left w:val="double" w:sz="4" w:space="0" w:color="auto"/>
              <w:bottom w:val="nil"/>
            </w:tcBorders>
            <w:vAlign w:val="center"/>
          </w:tcPr>
          <w:p w14:paraId="3A4BCF7C" w14:textId="7996FF03" w:rsidR="00E465D0" w:rsidRPr="003003C4" w:rsidRDefault="00E465D0" w:rsidP="003003C4">
            <w:pPr>
              <w:jc w:val="left"/>
              <w:rPr>
                <w:rFonts w:eastAsia="Calibri"/>
                <w:sz w:val="22"/>
                <w:szCs w:val="22"/>
              </w:rPr>
            </w:pPr>
            <w:r w:rsidRPr="003003C4">
              <w:rPr>
                <w:rFonts w:eastAsia="Times New Roman"/>
                <w:b/>
                <w:bCs/>
                <w:sz w:val="22"/>
                <w:szCs w:val="22"/>
              </w:rPr>
              <w:t xml:space="preserve">Number of </w:t>
            </w:r>
            <w:r w:rsidR="003003C4">
              <w:rPr>
                <w:rFonts w:eastAsia="Times New Roman"/>
                <w:b/>
                <w:bCs/>
                <w:sz w:val="22"/>
                <w:szCs w:val="22"/>
              </w:rPr>
              <w:t>V</w:t>
            </w:r>
            <w:r w:rsidRPr="003003C4">
              <w:rPr>
                <w:rFonts w:eastAsia="Times New Roman"/>
                <w:b/>
                <w:bCs/>
                <w:sz w:val="22"/>
                <w:szCs w:val="22"/>
              </w:rPr>
              <w:t>ehicles (at least one vehicle)</w:t>
            </w:r>
          </w:p>
        </w:tc>
        <w:tc>
          <w:tcPr>
            <w:tcW w:w="1041" w:type="dxa"/>
            <w:tcBorders>
              <w:top w:val="nil"/>
              <w:bottom w:val="nil"/>
            </w:tcBorders>
            <w:vAlign w:val="center"/>
          </w:tcPr>
          <w:p w14:paraId="0963A496" w14:textId="77777777" w:rsidR="00E465D0" w:rsidRPr="003003C4" w:rsidRDefault="00E465D0" w:rsidP="003003C4">
            <w:pPr>
              <w:jc w:val="right"/>
              <w:rPr>
                <w:sz w:val="22"/>
                <w:szCs w:val="22"/>
              </w:rPr>
            </w:pPr>
          </w:p>
        </w:tc>
        <w:tc>
          <w:tcPr>
            <w:tcW w:w="854" w:type="dxa"/>
            <w:tcBorders>
              <w:top w:val="nil"/>
              <w:bottom w:val="nil"/>
            </w:tcBorders>
            <w:vAlign w:val="center"/>
          </w:tcPr>
          <w:p w14:paraId="4EADCE7B" w14:textId="77777777" w:rsidR="00E465D0" w:rsidRPr="003003C4" w:rsidRDefault="00E465D0" w:rsidP="003003C4">
            <w:pPr>
              <w:jc w:val="right"/>
              <w:rPr>
                <w:sz w:val="22"/>
                <w:szCs w:val="22"/>
              </w:rPr>
            </w:pPr>
          </w:p>
        </w:tc>
        <w:tc>
          <w:tcPr>
            <w:tcW w:w="1846" w:type="dxa"/>
            <w:tcBorders>
              <w:top w:val="nil"/>
              <w:bottom w:val="nil"/>
              <w:right w:val="double" w:sz="4" w:space="0" w:color="auto"/>
            </w:tcBorders>
            <w:vAlign w:val="center"/>
          </w:tcPr>
          <w:p w14:paraId="7CD7232A" w14:textId="77777777" w:rsidR="00E465D0" w:rsidRPr="003003C4" w:rsidRDefault="00E465D0" w:rsidP="003003C4">
            <w:pPr>
              <w:jc w:val="center"/>
              <w:rPr>
                <w:rFonts w:eastAsia="Calibri"/>
                <w:sz w:val="22"/>
                <w:szCs w:val="22"/>
              </w:rPr>
            </w:pPr>
          </w:p>
        </w:tc>
      </w:tr>
      <w:tr w:rsidR="00E465D0" w:rsidRPr="003003C4" w14:paraId="18466CE9" w14:textId="77777777" w:rsidTr="003003C4">
        <w:trPr>
          <w:trHeight w:val="317"/>
        </w:trPr>
        <w:tc>
          <w:tcPr>
            <w:tcW w:w="5205" w:type="dxa"/>
            <w:tcBorders>
              <w:top w:val="nil"/>
              <w:left w:val="double" w:sz="4" w:space="0" w:color="auto"/>
              <w:bottom w:val="nil"/>
            </w:tcBorders>
            <w:vAlign w:val="center"/>
          </w:tcPr>
          <w:p w14:paraId="454C174E" w14:textId="77777777" w:rsidR="00E465D0" w:rsidRPr="003003C4" w:rsidRDefault="00E465D0" w:rsidP="003003C4">
            <w:pPr>
              <w:jc w:val="left"/>
              <w:rPr>
                <w:rFonts w:eastAsia="Calibri"/>
                <w:sz w:val="22"/>
                <w:szCs w:val="22"/>
              </w:rPr>
            </w:pPr>
            <w:r w:rsidRPr="003003C4">
              <w:rPr>
                <w:rFonts w:eastAsia="Times New Roman"/>
                <w:sz w:val="22"/>
                <w:szCs w:val="22"/>
              </w:rPr>
              <w:t xml:space="preserve"> Zero</w:t>
            </w:r>
          </w:p>
        </w:tc>
        <w:tc>
          <w:tcPr>
            <w:tcW w:w="1041" w:type="dxa"/>
            <w:tcBorders>
              <w:top w:val="nil"/>
              <w:bottom w:val="nil"/>
            </w:tcBorders>
            <w:vAlign w:val="center"/>
          </w:tcPr>
          <w:p w14:paraId="1326F0CB" w14:textId="77777777" w:rsidR="00E465D0" w:rsidRPr="003003C4" w:rsidRDefault="00E465D0" w:rsidP="003003C4">
            <w:pPr>
              <w:jc w:val="right"/>
              <w:rPr>
                <w:sz w:val="22"/>
                <w:szCs w:val="22"/>
              </w:rPr>
            </w:pPr>
            <w:r w:rsidRPr="003003C4">
              <w:rPr>
                <w:color w:val="000000"/>
                <w:sz w:val="22"/>
                <w:szCs w:val="22"/>
              </w:rPr>
              <w:t>0.684</w:t>
            </w:r>
          </w:p>
        </w:tc>
        <w:tc>
          <w:tcPr>
            <w:tcW w:w="854" w:type="dxa"/>
            <w:tcBorders>
              <w:top w:val="nil"/>
              <w:bottom w:val="nil"/>
            </w:tcBorders>
            <w:vAlign w:val="center"/>
          </w:tcPr>
          <w:p w14:paraId="57F04CF9" w14:textId="77777777" w:rsidR="00E465D0" w:rsidRPr="003003C4" w:rsidRDefault="00E465D0" w:rsidP="003003C4">
            <w:pPr>
              <w:jc w:val="right"/>
              <w:rPr>
                <w:sz w:val="22"/>
                <w:szCs w:val="22"/>
              </w:rPr>
            </w:pPr>
            <w:r w:rsidRPr="003003C4">
              <w:rPr>
                <w:color w:val="000000"/>
                <w:sz w:val="22"/>
                <w:szCs w:val="22"/>
              </w:rPr>
              <w:t>1.28</w:t>
            </w:r>
          </w:p>
        </w:tc>
        <w:tc>
          <w:tcPr>
            <w:tcW w:w="1846" w:type="dxa"/>
            <w:tcBorders>
              <w:top w:val="nil"/>
              <w:bottom w:val="nil"/>
              <w:right w:val="double" w:sz="4" w:space="0" w:color="auto"/>
            </w:tcBorders>
            <w:vAlign w:val="center"/>
          </w:tcPr>
          <w:p w14:paraId="38C5D342" w14:textId="77777777" w:rsidR="00E465D0" w:rsidRPr="003003C4" w:rsidRDefault="00E465D0" w:rsidP="003003C4">
            <w:pPr>
              <w:jc w:val="center"/>
              <w:rPr>
                <w:rFonts w:eastAsia="Calibri"/>
                <w:sz w:val="22"/>
                <w:szCs w:val="22"/>
              </w:rPr>
            </w:pPr>
            <w:r w:rsidRPr="003003C4">
              <w:rPr>
                <w:rFonts w:eastAsia="Calibri"/>
                <w:sz w:val="22"/>
                <w:szCs w:val="22"/>
              </w:rPr>
              <w:t>--</w:t>
            </w:r>
          </w:p>
        </w:tc>
      </w:tr>
      <w:tr w:rsidR="00E465D0" w:rsidRPr="003003C4" w14:paraId="2AC30064" w14:textId="77777777" w:rsidTr="003003C4">
        <w:trPr>
          <w:trHeight w:val="317"/>
        </w:trPr>
        <w:tc>
          <w:tcPr>
            <w:tcW w:w="5205" w:type="dxa"/>
            <w:tcBorders>
              <w:top w:val="nil"/>
              <w:left w:val="double" w:sz="4" w:space="0" w:color="auto"/>
              <w:bottom w:val="nil"/>
            </w:tcBorders>
            <w:vAlign w:val="center"/>
          </w:tcPr>
          <w:p w14:paraId="60CCE9A1" w14:textId="77777777" w:rsidR="00E465D0" w:rsidRPr="003003C4" w:rsidRDefault="00E465D0" w:rsidP="003003C4">
            <w:pPr>
              <w:jc w:val="left"/>
              <w:rPr>
                <w:rFonts w:eastAsia="Calibri"/>
                <w:sz w:val="22"/>
                <w:szCs w:val="22"/>
              </w:rPr>
            </w:pPr>
            <w:r w:rsidRPr="003003C4">
              <w:rPr>
                <w:rFonts w:eastAsia="Times New Roman"/>
                <w:b/>
                <w:bCs/>
                <w:sz w:val="22"/>
                <w:szCs w:val="22"/>
              </w:rPr>
              <w:t>Residential Location (urban or suburban)</w:t>
            </w:r>
          </w:p>
        </w:tc>
        <w:tc>
          <w:tcPr>
            <w:tcW w:w="1041" w:type="dxa"/>
            <w:tcBorders>
              <w:top w:val="nil"/>
              <w:bottom w:val="nil"/>
            </w:tcBorders>
            <w:vAlign w:val="center"/>
          </w:tcPr>
          <w:p w14:paraId="302BAE2A" w14:textId="77777777" w:rsidR="00E465D0" w:rsidRPr="003003C4" w:rsidRDefault="00E465D0" w:rsidP="003003C4">
            <w:pPr>
              <w:jc w:val="right"/>
              <w:rPr>
                <w:sz w:val="22"/>
                <w:szCs w:val="22"/>
              </w:rPr>
            </w:pPr>
          </w:p>
        </w:tc>
        <w:tc>
          <w:tcPr>
            <w:tcW w:w="854" w:type="dxa"/>
            <w:tcBorders>
              <w:top w:val="nil"/>
              <w:bottom w:val="nil"/>
            </w:tcBorders>
            <w:vAlign w:val="center"/>
          </w:tcPr>
          <w:p w14:paraId="16C55195" w14:textId="77777777" w:rsidR="00E465D0" w:rsidRPr="003003C4" w:rsidRDefault="00E465D0" w:rsidP="003003C4">
            <w:pPr>
              <w:jc w:val="right"/>
              <w:rPr>
                <w:sz w:val="22"/>
                <w:szCs w:val="22"/>
              </w:rPr>
            </w:pPr>
          </w:p>
        </w:tc>
        <w:tc>
          <w:tcPr>
            <w:tcW w:w="1846" w:type="dxa"/>
            <w:tcBorders>
              <w:top w:val="nil"/>
              <w:bottom w:val="nil"/>
              <w:right w:val="double" w:sz="4" w:space="0" w:color="auto"/>
            </w:tcBorders>
            <w:vAlign w:val="center"/>
          </w:tcPr>
          <w:p w14:paraId="2AD7902E" w14:textId="77777777" w:rsidR="00E465D0" w:rsidRPr="003003C4" w:rsidRDefault="00E465D0" w:rsidP="003003C4">
            <w:pPr>
              <w:jc w:val="center"/>
              <w:rPr>
                <w:rFonts w:eastAsia="Calibri"/>
                <w:sz w:val="22"/>
                <w:szCs w:val="22"/>
              </w:rPr>
            </w:pPr>
          </w:p>
        </w:tc>
      </w:tr>
      <w:tr w:rsidR="00E465D0" w:rsidRPr="003003C4" w14:paraId="6FF69438" w14:textId="77777777" w:rsidTr="003003C4">
        <w:trPr>
          <w:trHeight w:val="317"/>
        </w:trPr>
        <w:tc>
          <w:tcPr>
            <w:tcW w:w="5205" w:type="dxa"/>
            <w:tcBorders>
              <w:top w:val="nil"/>
              <w:left w:val="double" w:sz="4" w:space="0" w:color="auto"/>
              <w:bottom w:val="nil"/>
            </w:tcBorders>
            <w:vAlign w:val="center"/>
          </w:tcPr>
          <w:p w14:paraId="15F2C157" w14:textId="77777777" w:rsidR="00E465D0" w:rsidRPr="003003C4" w:rsidRDefault="00E465D0" w:rsidP="003003C4">
            <w:pPr>
              <w:jc w:val="left"/>
              <w:rPr>
                <w:rFonts w:eastAsia="Calibri"/>
                <w:sz w:val="22"/>
                <w:szCs w:val="22"/>
              </w:rPr>
            </w:pPr>
            <w:r w:rsidRPr="003003C4">
              <w:rPr>
                <w:rFonts w:eastAsia="Times New Roman"/>
                <w:sz w:val="22"/>
                <w:szCs w:val="22"/>
              </w:rPr>
              <w:t xml:space="preserve"> Rural </w:t>
            </w:r>
          </w:p>
        </w:tc>
        <w:tc>
          <w:tcPr>
            <w:tcW w:w="1041" w:type="dxa"/>
            <w:tcBorders>
              <w:top w:val="nil"/>
              <w:bottom w:val="nil"/>
            </w:tcBorders>
            <w:vAlign w:val="center"/>
          </w:tcPr>
          <w:p w14:paraId="1CEFE53F" w14:textId="77777777" w:rsidR="00E465D0" w:rsidRPr="003003C4" w:rsidRDefault="00E465D0" w:rsidP="003003C4">
            <w:pPr>
              <w:jc w:val="right"/>
              <w:rPr>
                <w:sz w:val="22"/>
                <w:szCs w:val="22"/>
              </w:rPr>
            </w:pPr>
            <w:r w:rsidRPr="003003C4">
              <w:rPr>
                <w:color w:val="000000"/>
                <w:sz w:val="22"/>
                <w:szCs w:val="22"/>
              </w:rPr>
              <w:t>0.253</w:t>
            </w:r>
          </w:p>
        </w:tc>
        <w:tc>
          <w:tcPr>
            <w:tcW w:w="854" w:type="dxa"/>
            <w:tcBorders>
              <w:top w:val="nil"/>
              <w:bottom w:val="nil"/>
            </w:tcBorders>
            <w:vAlign w:val="center"/>
          </w:tcPr>
          <w:p w14:paraId="3A3A7608" w14:textId="77777777" w:rsidR="00E465D0" w:rsidRPr="003003C4" w:rsidRDefault="00E465D0" w:rsidP="003003C4">
            <w:pPr>
              <w:jc w:val="right"/>
              <w:rPr>
                <w:sz w:val="22"/>
                <w:szCs w:val="22"/>
              </w:rPr>
            </w:pPr>
            <w:r w:rsidRPr="003003C4">
              <w:rPr>
                <w:color w:val="000000"/>
                <w:sz w:val="22"/>
                <w:szCs w:val="22"/>
              </w:rPr>
              <w:t>1.37</w:t>
            </w:r>
          </w:p>
        </w:tc>
        <w:tc>
          <w:tcPr>
            <w:tcW w:w="1846" w:type="dxa"/>
            <w:tcBorders>
              <w:top w:val="nil"/>
              <w:bottom w:val="nil"/>
              <w:right w:val="double" w:sz="4" w:space="0" w:color="auto"/>
            </w:tcBorders>
            <w:vAlign w:val="center"/>
          </w:tcPr>
          <w:p w14:paraId="6FCEEA11" w14:textId="77777777" w:rsidR="00E465D0" w:rsidRPr="003003C4" w:rsidRDefault="00E465D0" w:rsidP="003003C4">
            <w:pPr>
              <w:jc w:val="center"/>
              <w:rPr>
                <w:rFonts w:eastAsia="Calibri"/>
                <w:sz w:val="22"/>
                <w:szCs w:val="22"/>
              </w:rPr>
            </w:pPr>
          </w:p>
        </w:tc>
      </w:tr>
      <w:tr w:rsidR="00E465D0" w:rsidRPr="003003C4" w14:paraId="15308B28" w14:textId="77777777" w:rsidTr="003003C4">
        <w:trPr>
          <w:trHeight w:val="317"/>
        </w:trPr>
        <w:tc>
          <w:tcPr>
            <w:tcW w:w="5205" w:type="dxa"/>
            <w:tcBorders>
              <w:top w:val="nil"/>
              <w:left w:val="double" w:sz="4" w:space="0" w:color="auto"/>
              <w:bottom w:val="double" w:sz="4" w:space="0" w:color="auto"/>
            </w:tcBorders>
            <w:vAlign w:val="center"/>
          </w:tcPr>
          <w:p w14:paraId="61A126E5" w14:textId="77777777" w:rsidR="00E465D0" w:rsidRPr="003003C4" w:rsidRDefault="00E465D0" w:rsidP="003003C4">
            <w:pPr>
              <w:jc w:val="left"/>
              <w:rPr>
                <w:rFonts w:eastAsia="Calibri"/>
                <w:b/>
                <w:i/>
                <w:sz w:val="22"/>
                <w:szCs w:val="22"/>
              </w:rPr>
            </w:pPr>
            <w:r w:rsidRPr="003003C4">
              <w:rPr>
                <w:rFonts w:eastAsia="Calibri"/>
                <w:b/>
                <w:i/>
                <w:sz w:val="22"/>
                <w:szCs w:val="22"/>
              </w:rPr>
              <w:t>Constant</w:t>
            </w:r>
          </w:p>
        </w:tc>
        <w:tc>
          <w:tcPr>
            <w:tcW w:w="1041" w:type="dxa"/>
            <w:tcBorders>
              <w:top w:val="nil"/>
              <w:bottom w:val="double" w:sz="4" w:space="0" w:color="auto"/>
            </w:tcBorders>
            <w:vAlign w:val="center"/>
          </w:tcPr>
          <w:p w14:paraId="7E5E1773" w14:textId="77777777" w:rsidR="00E465D0" w:rsidRPr="003003C4" w:rsidRDefault="00E465D0" w:rsidP="003003C4">
            <w:pPr>
              <w:jc w:val="right"/>
              <w:rPr>
                <w:color w:val="000000"/>
                <w:sz w:val="22"/>
                <w:szCs w:val="22"/>
              </w:rPr>
            </w:pPr>
            <w:r w:rsidRPr="003003C4">
              <w:rPr>
                <w:color w:val="000000"/>
                <w:sz w:val="22"/>
                <w:szCs w:val="22"/>
              </w:rPr>
              <w:t>0.459</w:t>
            </w:r>
          </w:p>
        </w:tc>
        <w:tc>
          <w:tcPr>
            <w:tcW w:w="854" w:type="dxa"/>
            <w:tcBorders>
              <w:top w:val="nil"/>
              <w:bottom w:val="double" w:sz="4" w:space="0" w:color="auto"/>
            </w:tcBorders>
            <w:vAlign w:val="center"/>
          </w:tcPr>
          <w:p w14:paraId="7AB68512" w14:textId="77777777" w:rsidR="00E465D0" w:rsidRPr="003003C4" w:rsidRDefault="00E465D0" w:rsidP="003003C4">
            <w:pPr>
              <w:jc w:val="right"/>
              <w:rPr>
                <w:rFonts w:eastAsia="Calibri"/>
                <w:sz w:val="22"/>
                <w:szCs w:val="22"/>
              </w:rPr>
            </w:pPr>
            <w:r w:rsidRPr="003003C4">
              <w:rPr>
                <w:color w:val="000000"/>
                <w:sz w:val="22"/>
                <w:szCs w:val="22"/>
              </w:rPr>
              <w:t>3.05</w:t>
            </w:r>
          </w:p>
        </w:tc>
        <w:tc>
          <w:tcPr>
            <w:tcW w:w="1846" w:type="dxa"/>
            <w:tcBorders>
              <w:top w:val="nil"/>
              <w:bottom w:val="double" w:sz="4" w:space="0" w:color="auto"/>
              <w:right w:val="double" w:sz="4" w:space="0" w:color="auto"/>
            </w:tcBorders>
            <w:vAlign w:val="center"/>
          </w:tcPr>
          <w:p w14:paraId="471BEBC4" w14:textId="77777777" w:rsidR="00E465D0" w:rsidRPr="003003C4" w:rsidRDefault="00E465D0" w:rsidP="003003C4">
            <w:pPr>
              <w:jc w:val="center"/>
              <w:rPr>
                <w:rFonts w:eastAsia="Calibri"/>
                <w:sz w:val="22"/>
                <w:szCs w:val="22"/>
              </w:rPr>
            </w:pPr>
            <w:r w:rsidRPr="003003C4">
              <w:rPr>
                <w:rFonts w:eastAsia="Calibri"/>
                <w:sz w:val="22"/>
                <w:szCs w:val="22"/>
              </w:rPr>
              <w:t>--</w:t>
            </w:r>
          </w:p>
        </w:tc>
      </w:tr>
      <w:tr w:rsidR="00E465D0" w:rsidRPr="003003C4" w14:paraId="14FC4038" w14:textId="77777777" w:rsidTr="003003C4">
        <w:trPr>
          <w:trHeight w:val="317"/>
        </w:trPr>
        <w:tc>
          <w:tcPr>
            <w:tcW w:w="5205" w:type="dxa"/>
            <w:tcBorders>
              <w:top w:val="double" w:sz="4" w:space="0" w:color="auto"/>
              <w:left w:val="double" w:sz="4" w:space="0" w:color="auto"/>
              <w:bottom w:val="double" w:sz="4" w:space="0" w:color="auto"/>
            </w:tcBorders>
            <w:vAlign w:val="center"/>
          </w:tcPr>
          <w:p w14:paraId="025745EB" w14:textId="77777777" w:rsidR="00E465D0" w:rsidRPr="003003C4" w:rsidRDefault="00E465D0" w:rsidP="003003C4">
            <w:pPr>
              <w:rPr>
                <w:rFonts w:eastAsia="Calibri"/>
                <w:b/>
                <w:i/>
                <w:sz w:val="22"/>
                <w:szCs w:val="22"/>
              </w:rPr>
            </w:pPr>
            <w:r w:rsidRPr="003003C4">
              <w:rPr>
                <w:rFonts w:eastAsia="Calibri"/>
                <w:b/>
                <w:i/>
                <w:sz w:val="22"/>
                <w:szCs w:val="22"/>
              </w:rPr>
              <w:t>Segment Size</w:t>
            </w:r>
          </w:p>
        </w:tc>
        <w:tc>
          <w:tcPr>
            <w:tcW w:w="1895" w:type="dxa"/>
            <w:gridSpan w:val="2"/>
            <w:tcBorders>
              <w:top w:val="double" w:sz="4" w:space="0" w:color="auto"/>
              <w:bottom w:val="double" w:sz="4" w:space="0" w:color="auto"/>
            </w:tcBorders>
            <w:vAlign w:val="center"/>
          </w:tcPr>
          <w:p w14:paraId="6921E750" w14:textId="77777777" w:rsidR="00E465D0" w:rsidRPr="003003C4" w:rsidRDefault="00E465D0" w:rsidP="003003C4">
            <w:pPr>
              <w:jc w:val="center"/>
              <w:rPr>
                <w:rFonts w:eastAsia="Calibri"/>
                <w:sz w:val="22"/>
                <w:szCs w:val="22"/>
              </w:rPr>
            </w:pPr>
            <w:r w:rsidRPr="003003C4">
              <w:rPr>
                <w:rFonts w:eastAsia="Calibri"/>
                <w:sz w:val="22"/>
                <w:szCs w:val="22"/>
              </w:rPr>
              <w:t>64.8</w:t>
            </w:r>
          </w:p>
        </w:tc>
        <w:tc>
          <w:tcPr>
            <w:tcW w:w="1846" w:type="dxa"/>
            <w:tcBorders>
              <w:top w:val="double" w:sz="4" w:space="0" w:color="auto"/>
              <w:bottom w:val="double" w:sz="4" w:space="0" w:color="auto"/>
              <w:right w:val="double" w:sz="4" w:space="0" w:color="auto"/>
            </w:tcBorders>
            <w:vAlign w:val="center"/>
          </w:tcPr>
          <w:p w14:paraId="54B3E8F1" w14:textId="77777777" w:rsidR="00E465D0" w:rsidRPr="003003C4" w:rsidRDefault="00E465D0" w:rsidP="003003C4">
            <w:pPr>
              <w:jc w:val="center"/>
              <w:rPr>
                <w:rFonts w:eastAsia="Calibri"/>
                <w:sz w:val="22"/>
                <w:szCs w:val="22"/>
              </w:rPr>
            </w:pPr>
            <w:r w:rsidRPr="003003C4">
              <w:rPr>
                <w:rFonts w:eastAsia="Calibri"/>
                <w:sz w:val="22"/>
                <w:szCs w:val="22"/>
              </w:rPr>
              <w:t>35.2</w:t>
            </w:r>
          </w:p>
        </w:tc>
      </w:tr>
    </w:tbl>
    <w:p w14:paraId="2C384F94" w14:textId="0C3EE51A" w:rsidR="00E465D0" w:rsidRPr="00E465D0" w:rsidRDefault="00E465D0" w:rsidP="00E465D0">
      <w:pPr>
        <w:spacing w:after="0"/>
        <w:rPr>
          <w:b/>
          <w:bCs/>
        </w:rPr>
      </w:pPr>
      <w:r w:rsidRPr="00E465D0">
        <w:rPr>
          <w:b/>
          <w:bCs/>
        </w:rPr>
        <w:t>Table 5</w:t>
      </w:r>
      <w:r w:rsidR="005D4542">
        <w:rPr>
          <w:b/>
          <w:bCs/>
        </w:rPr>
        <w:t>.</w:t>
      </w:r>
      <w:r w:rsidRPr="00E465D0">
        <w:rPr>
          <w:b/>
          <w:bCs/>
        </w:rPr>
        <w:t xml:space="preserve"> Latent Segmentation Assignment Model</w:t>
      </w:r>
    </w:p>
    <w:p w14:paraId="0751B331" w14:textId="77777777" w:rsidR="00E465D0" w:rsidRPr="00E465D0" w:rsidRDefault="00E465D0" w:rsidP="00E465D0">
      <w:pPr>
        <w:spacing w:after="0"/>
      </w:pPr>
    </w:p>
    <w:p w14:paraId="64540AC8" w14:textId="77777777" w:rsidR="00E465D0" w:rsidRPr="00E465D0" w:rsidRDefault="00E465D0" w:rsidP="00E465D0">
      <w:pPr>
        <w:jc w:val="left"/>
      </w:pPr>
      <w:r w:rsidRPr="00E465D0">
        <w:br w:type="page"/>
      </w:r>
    </w:p>
    <w:p w14:paraId="072E8C67" w14:textId="64E118AE" w:rsidR="00E465D0" w:rsidRPr="00E465D0" w:rsidRDefault="00E465D0" w:rsidP="00E465D0">
      <w:pPr>
        <w:spacing w:after="0"/>
        <w:rPr>
          <w:b/>
        </w:rPr>
      </w:pPr>
      <w:r w:rsidRPr="00E465D0">
        <w:rPr>
          <w:b/>
        </w:rPr>
        <w:lastRenderedPageBreak/>
        <w:t>Table 6</w:t>
      </w:r>
      <w:r w:rsidR="005D4542">
        <w:rPr>
          <w:b/>
        </w:rPr>
        <w:t>.</w:t>
      </w:r>
      <w:r w:rsidRPr="00E465D0">
        <w:rPr>
          <w:b/>
        </w:rPr>
        <w:t xml:space="preserve"> Profiles of the Two Latent Market Segments</w:t>
      </w:r>
    </w:p>
    <w:tbl>
      <w:tblPr>
        <w:tblStyle w:val="TableGrid"/>
        <w:tblW w:w="5063" w:type="pct"/>
        <w:tblLayout w:type="fixed"/>
        <w:tblLook w:val="04A0" w:firstRow="1" w:lastRow="0" w:firstColumn="1" w:lastColumn="0" w:noHBand="0" w:noVBand="1"/>
      </w:tblPr>
      <w:tblGrid>
        <w:gridCol w:w="1338"/>
        <w:gridCol w:w="2696"/>
        <w:gridCol w:w="1092"/>
        <w:gridCol w:w="1070"/>
        <w:gridCol w:w="1098"/>
        <w:gridCol w:w="1064"/>
        <w:gridCol w:w="1090"/>
      </w:tblGrid>
      <w:tr w:rsidR="003730C2" w:rsidRPr="003003C4" w14:paraId="36DA09EC" w14:textId="77777777" w:rsidTr="003730C2">
        <w:tc>
          <w:tcPr>
            <w:tcW w:w="2135" w:type="pct"/>
            <w:gridSpan w:val="2"/>
            <w:vMerge w:val="restart"/>
            <w:tcBorders>
              <w:top w:val="double" w:sz="4" w:space="0" w:color="auto"/>
              <w:left w:val="double" w:sz="4" w:space="0" w:color="auto"/>
              <w:bottom w:val="single" w:sz="18" w:space="0" w:color="auto"/>
              <w:right w:val="single" w:sz="12" w:space="0" w:color="auto"/>
            </w:tcBorders>
            <w:tcMar>
              <w:left w:w="58" w:type="dxa"/>
              <w:right w:w="58" w:type="dxa"/>
            </w:tcMar>
            <w:vAlign w:val="center"/>
            <w:hideMark/>
          </w:tcPr>
          <w:p w14:paraId="1FCCF48E" w14:textId="77777777" w:rsidR="003730C2" w:rsidRPr="003003C4" w:rsidRDefault="003730C2" w:rsidP="00302827">
            <w:pPr>
              <w:jc w:val="center"/>
              <w:rPr>
                <w:b/>
                <w:sz w:val="21"/>
                <w:szCs w:val="21"/>
              </w:rPr>
            </w:pPr>
            <w:r w:rsidRPr="003003C4">
              <w:rPr>
                <w:b/>
                <w:sz w:val="21"/>
                <w:szCs w:val="21"/>
              </w:rPr>
              <w:t>Attributes</w:t>
            </w:r>
          </w:p>
        </w:tc>
        <w:tc>
          <w:tcPr>
            <w:tcW w:w="1144" w:type="pct"/>
            <w:gridSpan w:val="2"/>
            <w:tcBorders>
              <w:top w:val="double" w:sz="4" w:space="0" w:color="auto"/>
              <w:left w:val="single" w:sz="12" w:space="0" w:color="auto"/>
              <w:bottom w:val="single" w:sz="4" w:space="0" w:color="auto"/>
              <w:right w:val="single" w:sz="12" w:space="0" w:color="auto"/>
            </w:tcBorders>
            <w:tcMar>
              <w:left w:w="58" w:type="dxa"/>
              <w:right w:w="58" w:type="dxa"/>
            </w:tcMar>
            <w:vAlign w:val="center"/>
            <w:hideMark/>
          </w:tcPr>
          <w:p w14:paraId="14CEBAB7" w14:textId="77777777" w:rsidR="003730C2" w:rsidRPr="003003C4" w:rsidRDefault="003730C2" w:rsidP="00302827">
            <w:pPr>
              <w:jc w:val="center"/>
              <w:rPr>
                <w:b/>
                <w:i/>
                <w:iCs/>
                <w:sz w:val="21"/>
                <w:szCs w:val="21"/>
              </w:rPr>
            </w:pPr>
            <w:r w:rsidRPr="003003C4">
              <w:rPr>
                <w:b/>
                <w:sz w:val="21"/>
                <w:szCs w:val="21"/>
              </w:rPr>
              <w:t>Percent (%) within segment</w:t>
            </w:r>
          </w:p>
        </w:tc>
        <w:tc>
          <w:tcPr>
            <w:tcW w:w="1144" w:type="pct"/>
            <w:gridSpan w:val="2"/>
            <w:tcBorders>
              <w:top w:val="double" w:sz="4" w:space="0" w:color="auto"/>
              <w:left w:val="single" w:sz="12" w:space="0" w:color="auto"/>
              <w:bottom w:val="single" w:sz="4" w:space="0" w:color="auto"/>
              <w:right w:val="single" w:sz="12" w:space="0" w:color="auto"/>
            </w:tcBorders>
            <w:tcMar>
              <w:left w:w="58" w:type="dxa"/>
              <w:right w:w="58" w:type="dxa"/>
            </w:tcMar>
            <w:vAlign w:val="center"/>
            <w:hideMark/>
          </w:tcPr>
          <w:p w14:paraId="59DDAAC3" w14:textId="77777777" w:rsidR="003730C2" w:rsidRPr="003003C4" w:rsidRDefault="003730C2" w:rsidP="00302827">
            <w:pPr>
              <w:jc w:val="center"/>
              <w:rPr>
                <w:b/>
                <w:sz w:val="21"/>
                <w:szCs w:val="21"/>
              </w:rPr>
            </w:pPr>
            <w:r w:rsidRPr="003003C4">
              <w:rPr>
                <w:b/>
                <w:sz w:val="21"/>
                <w:szCs w:val="21"/>
              </w:rPr>
              <w:t>Percent (%) within attribute</w:t>
            </w:r>
          </w:p>
        </w:tc>
        <w:tc>
          <w:tcPr>
            <w:tcW w:w="577" w:type="pct"/>
            <w:vMerge w:val="restart"/>
            <w:tcBorders>
              <w:top w:val="double" w:sz="4" w:space="0" w:color="auto"/>
              <w:left w:val="single" w:sz="12" w:space="0" w:color="auto"/>
              <w:right w:val="double" w:sz="4" w:space="0" w:color="auto"/>
            </w:tcBorders>
            <w:tcMar>
              <w:left w:w="58" w:type="dxa"/>
              <w:right w:w="58" w:type="dxa"/>
            </w:tcMar>
            <w:vAlign w:val="center"/>
            <w:hideMark/>
          </w:tcPr>
          <w:p w14:paraId="27ECE218" w14:textId="77777777" w:rsidR="003730C2" w:rsidRPr="003003C4" w:rsidRDefault="003730C2" w:rsidP="00302827">
            <w:pPr>
              <w:jc w:val="center"/>
              <w:rPr>
                <w:b/>
                <w:sz w:val="21"/>
                <w:szCs w:val="21"/>
              </w:rPr>
            </w:pPr>
            <w:r w:rsidRPr="003003C4">
              <w:rPr>
                <w:b/>
                <w:sz w:val="21"/>
                <w:szCs w:val="21"/>
              </w:rPr>
              <w:t>Overall Sample</w:t>
            </w:r>
          </w:p>
          <w:p w14:paraId="45AA71BC" w14:textId="77777777" w:rsidR="003730C2" w:rsidRPr="003003C4" w:rsidRDefault="003730C2" w:rsidP="00302827">
            <w:pPr>
              <w:jc w:val="center"/>
              <w:rPr>
                <w:b/>
                <w:sz w:val="21"/>
                <w:szCs w:val="21"/>
              </w:rPr>
            </w:pPr>
            <w:r w:rsidRPr="003003C4">
              <w:rPr>
                <w:b/>
                <w:sz w:val="21"/>
                <w:szCs w:val="21"/>
              </w:rPr>
              <w:t>(%)</w:t>
            </w:r>
          </w:p>
        </w:tc>
      </w:tr>
      <w:tr w:rsidR="003730C2" w:rsidRPr="003003C4" w14:paraId="22CC51E6" w14:textId="77777777" w:rsidTr="003730C2">
        <w:trPr>
          <w:trHeight w:val="702"/>
        </w:trPr>
        <w:tc>
          <w:tcPr>
            <w:tcW w:w="2135" w:type="pct"/>
            <w:gridSpan w:val="2"/>
            <w:vMerge/>
            <w:tcBorders>
              <w:top w:val="single" w:sz="18" w:space="0" w:color="auto"/>
              <w:left w:val="double" w:sz="4" w:space="0" w:color="auto"/>
              <w:bottom w:val="double" w:sz="4" w:space="0" w:color="auto"/>
              <w:right w:val="single" w:sz="12" w:space="0" w:color="auto"/>
            </w:tcBorders>
            <w:tcMar>
              <w:left w:w="58" w:type="dxa"/>
              <w:right w:w="58" w:type="dxa"/>
            </w:tcMar>
            <w:vAlign w:val="center"/>
            <w:hideMark/>
          </w:tcPr>
          <w:p w14:paraId="65BB674B" w14:textId="77777777" w:rsidR="003730C2" w:rsidRPr="003003C4" w:rsidRDefault="003730C2" w:rsidP="00302827">
            <w:pPr>
              <w:rPr>
                <w:b/>
                <w:sz w:val="21"/>
                <w:szCs w:val="21"/>
              </w:rPr>
            </w:pPr>
          </w:p>
        </w:tc>
        <w:tc>
          <w:tcPr>
            <w:tcW w:w="578" w:type="pct"/>
            <w:tcBorders>
              <w:top w:val="single" w:sz="4" w:space="0" w:color="auto"/>
              <w:left w:val="single" w:sz="12" w:space="0" w:color="auto"/>
              <w:bottom w:val="double" w:sz="4" w:space="0" w:color="auto"/>
              <w:right w:val="single" w:sz="4" w:space="0" w:color="auto"/>
            </w:tcBorders>
            <w:tcMar>
              <w:left w:w="58" w:type="dxa"/>
              <w:right w:w="58" w:type="dxa"/>
            </w:tcMar>
            <w:vAlign w:val="center"/>
            <w:hideMark/>
          </w:tcPr>
          <w:p w14:paraId="617689CD" w14:textId="77777777" w:rsidR="003730C2" w:rsidRPr="003003C4" w:rsidRDefault="003730C2" w:rsidP="00302827">
            <w:pPr>
              <w:jc w:val="center"/>
              <w:rPr>
                <w:bCs/>
                <w:sz w:val="21"/>
                <w:szCs w:val="21"/>
                <w:u w:val="single"/>
              </w:rPr>
            </w:pPr>
            <w:r w:rsidRPr="003003C4">
              <w:rPr>
                <w:bCs/>
                <w:sz w:val="21"/>
                <w:szCs w:val="21"/>
                <w:u w:val="single"/>
              </w:rPr>
              <w:t>The Players</w:t>
            </w:r>
          </w:p>
          <w:p w14:paraId="1B916A59" w14:textId="77777777" w:rsidR="003730C2" w:rsidRPr="003003C4" w:rsidRDefault="003730C2" w:rsidP="00302827">
            <w:pPr>
              <w:jc w:val="center"/>
              <w:rPr>
                <w:bCs/>
                <w:sz w:val="21"/>
                <w:szCs w:val="21"/>
              </w:rPr>
            </w:pPr>
            <w:r w:rsidRPr="003003C4">
              <w:rPr>
                <w:bCs/>
                <w:sz w:val="21"/>
                <w:szCs w:val="21"/>
              </w:rPr>
              <w:t>NT</w:t>
            </w:r>
          </w:p>
          <w:p w14:paraId="34A988E3" w14:textId="77777777" w:rsidR="003730C2" w:rsidRPr="003003C4" w:rsidRDefault="003730C2" w:rsidP="00302827">
            <w:pPr>
              <w:jc w:val="center"/>
              <w:rPr>
                <w:bCs/>
                <w:sz w:val="21"/>
                <w:szCs w:val="21"/>
              </w:rPr>
            </w:pPr>
            <w:r w:rsidRPr="003003C4">
              <w:rPr>
                <w:bCs/>
                <w:sz w:val="21"/>
                <w:szCs w:val="21"/>
              </w:rPr>
              <w:t>NW</w:t>
            </w:r>
            <w:r w:rsidRPr="003003C4">
              <w:rPr>
                <w:bCs/>
                <w:sz w:val="21"/>
                <w:szCs w:val="21"/>
              </w:rPr>
              <w:sym w:font="Wingdings" w:char="F0E0"/>
            </w:r>
            <w:r w:rsidRPr="003003C4">
              <w:rPr>
                <w:bCs/>
                <w:sz w:val="21"/>
                <w:szCs w:val="21"/>
              </w:rPr>
              <w:t>TW</w:t>
            </w:r>
          </w:p>
        </w:tc>
        <w:tc>
          <w:tcPr>
            <w:tcW w:w="566" w:type="pct"/>
            <w:tcBorders>
              <w:top w:val="single" w:sz="4" w:space="0" w:color="auto"/>
              <w:left w:val="single" w:sz="4" w:space="0" w:color="auto"/>
              <w:bottom w:val="double" w:sz="4" w:space="0" w:color="auto"/>
              <w:right w:val="single" w:sz="12" w:space="0" w:color="auto"/>
            </w:tcBorders>
            <w:tcMar>
              <w:left w:w="58" w:type="dxa"/>
              <w:right w:w="58" w:type="dxa"/>
            </w:tcMar>
            <w:vAlign w:val="center"/>
            <w:hideMark/>
          </w:tcPr>
          <w:p w14:paraId="66F53AEA" w14:textId="77777777" w:rsidR="003730C2" w:rsidRPr="003003C4" w:rsidRDefault="003730C2" w:rsidP="00302827">
            <w:pPr>
              <w:jc w:val="center"/>
              <w:rPr>
                <w:bCs/>
                <w:sz w:val="21"/>
                <w:szCs w:val="21"/>
                <w:u w:val="single"/>
              </w:rPr>
            </w:pPr>
            <w:r w:rsidRPr="003003C4">
              <w:rPr>
                <w:bCs/>
                <w:sz w:val="21"/>
                <w:szCs w:val="21"/>
                <w:u w:val="single"/>
              </w:rPr>
              <w:t>The Workers</w:t>
            </w:r>
          </w:p>
          <w:p w14:paraId="68E203AA" w14:textId="77777777" w:rsidR="003730C2" w:rsidRPr="003003C4" w:rsidRDefault="003730C2" w:rsidP="00302827">
            <w:pPr>
              <w:jc w:val="center"/>
              <w:rPr>
                <w:bCs/>
                <w:sz w:val="21"/>
                <w:szCs w:val="21"/>
              </w:rPr>
            </w:pPr>
            <w:r w:rsidRPr="003003C4">
              <w:rPr>
                <w:bCs/>
                <w:sz w:val="21"/>
                <w:szCs w:val="21"/>
              </w:rPr>
              <w:t>TN</w:t>
            </w:r>
          </w:p>
          <w:p w14:paraId="41B376BC" w14:textId="77777777" w:rsidR="003730C2" w:rsidRPr="003003C4" w:rsidRDefault="003730C2" w:rsidP="00302827">
            <w:pPr>
              <w:jc w:val="center"/>
              <w:rPr>
                <w:bCs/>
                <w:sz w:val="21"/>
                <w:szCs w:val="21"/>
              </w:rPr>
            </w:pPr>
            <w:r w:rsidRPr="003003C4">
              <w:rPr>
                <w:bCs/>
                <w:sz w:val="21"/>
                <w:szCs w:val="21"/>
              </w:rPr>
              <w:t>TW</w:t>
            </w:r>
            <w:r w:rsidRPr="003003C4">
              <w:rPr>
                <w:bCs/>
                <w:sz w:val="21"/>
                <w:szCs w:val="21"/>
              </w:rPr>
              <w:sym w:font="Wingdings" w:char="F0E0"/>
            </w:r>
            <w:r w:rsidRPr="003003C4">
              <w:rPr>
                <w:bCs/>
                <w:sz w:val="21"/>
                <w:szCs w:val="21"/>
              </w:rPr>
              <w:t>NW</w:t>
            </w:r>
          </w:p>
        </w:tc>
        <w:tc>
          <w:tcPr>
            <w:tcW w:w="581" w:type="pct"/>
            <w:tcBorders>
              <w:top w:val="single" w:sz="4" w:space="0" w:color="auto"/>
              <w:left w:val="single" w:sz="12" w:space="0" w:color="auto"/>
              <w:bottom w:val="double" w:sz="4" w:space="0" w:color="auto"/>
              <w:right w:val="single" w:sz="4" w:space="0" w:color="auto"/>
            </w:tcBorders>
            <w:tcMar>
              <w:left w:w="58" w:type="dxa"/>
              <w:right w:w="58" w:type="dxa"/>
            </w:tcMar>
            <w:vAlign w:val="center"/>
            <w:hideMark/>
          </w:tcPr>
          <w:p w14:paraId="1CDEEC4E" w14:textId="77777777" w:rsidR="003730C2" w:rsidRPr="003003C4" w:rsidRDefault="003730C2" w:rsidP="00302827">
            <w:pPr>
              <w:jc w:val="center"/>
              <w:rPr>
                <w:bCs/>
                <w:sz w:val="21"/>
                <w:szCs w:val="21"/>
                <w:u w:val="single"/>
              </w:rPr>
            </w:pPr>
            <w:r w:rsidRPr="003003C4">
              <w:rPr>
                <w:bCs/>
                <w:sz w:val="21"/>
                <w:szCs w:val="21"/>
                <w:u w:val="single"/>
              </w:rPr>
              <w:t>The Players</w:t>
            </w:r>
          </w:p>
          <w:p w14:paraId="2F1C364B" w14:textId="77777777" w:rsidR="003730C2" w:rsidRPr="003003C4" w:rsidRDefault="003730C2" w:rsidP="00302827">
            <w:pPr>
              <w:jc w:val="center"/>
              <w:rPr>
                <w:bCs/>
                <w:sz w:val="21"/>
                <w:szCs w:val="21"/>
              </w:rPr>
            </w:pPr>
            <w:r w:rsidRPr="003003C4">
              <w:rPr>
                <w:bCs/>
                <w:sz w:val="21"/>
                <w:szCs w:val="21"/>
              </w:rPr>
              <w:t>NT</w:t>
            </w:r>
          </w:p>
          <w:p w14:paraId="685B996F" w14:textId="77777777" w:rsidR="003730C2" w:rsidRPr="003003C4" w:rsidRDefault="003730C2" w:rsidP="00302827">
            <w:pPr>
              <w:jc w:val="center"/>
              <w:rPr>
                <w:bCs/>
                <w:sz w:val="21"/>
                <w:szCs w:val="21"/>
              </w:rPr>
            </w:pPr>
            <w:r w:rsidRPr="003003C4">
              <w:rPr>
                <w:bCs/>
                <w:sz w:val="21"/>
                <w:szCs w:val="21"/>
              </w:rPr>
              <w:t>NW</w:t>
            </w:r>
            <w:r w:rsidRPr="003003C4">
              <w:rPr>
                <w:bCs/>
                <w:sz w:val="21"/>
                <w:szCs w:val="21"/>
              </w:rPr>
              <w:sym w:font="Wingdings" w:char="F0E0"/>
            </w:r>
            <w:r w:rsidRPr="003003C4">
              <w:rPr>
                <w:bCs/>
                <w:sz w:val="21"/>
                <w:szCs w:val="21"/>
              </w:rPr>
              <w:t>TW</w:t>
            </w:r>
          </w:p>
        </w:tc>
        <w:tc>
          <w:tcPr>
            <w:tcW w:w="563" w:type="pct"/>
            <w:tcBorders>
              <w:top w:val="single" w:sz="4" w:space="0" w:color="auto"/>
              <w:left w:val="single" w:sz="4" w:space="0" w:color="auto"/>
              <w:bottom w:val="double" w:sz="4" w:space="0" w:color="auto"/>
              <w:right w:val="single" w:sz="12" w:space="0" w:color="auto"/>
            </w:tcBorders>
            <w:tcMar>
              <w:left w:w="58" w:type="dxa"/>
              <w:right w:w="58" w:type="dxa"/>
            </w:tcMar>
            <w:vAlign w:val="center"/>
            <w:hideMark/>
          </w:tcPr>
          <w:p w14:paraId="1D1A2E63" w14:textId="77777777" w:rsidR="003730C2" w:rsidRPr="003003C4" w:rsidRDefault="003730C2" w:rsidP="00302827">
            <w:pPr>
              <w:jc w:val="center"/>
              <w:rPr>
                <w:bCs/>
                <w:sz w:val="21"/>
                <w:szCs w:val="21"/>
                <w:u w:val="single"/>
              </w:rPr>
            </w:pPr>
            <w:r w:rsidRPr="003003C4">
              <w:rPr>
                <w:bCs/>
                <w:sz w:val="21"/>
                <w:szCs w:val="21"/>
                <w:u w:val="single"/>
              </w:rPr>
              <w:t>The Workers</w:t>
            </w:r>
          </w:p>
          <w:p w14:paraId="1072577F" w14:textId="77777777" w:rsidR="003730C2" w:rsidRPr="003003C4" w:rsidRDefault="003730C2" w:rsidP="00302827">
            <w:pPr>
              <w:jc w:val="center"/>
              <w:rPr>
                <w:bCs/>
                <w:sz w:val="21"/>
                <w:szCs w:val="21"/>
              </w:rPr>
            </w:pPr>
            <w:r w:rsidRPr="003003C4">
              <w:rPr>
                <w:bCs/>
                <w:sz w:val="21"/>
                <w:szCs w:val="21"/>
              </w:rPr>
              <w:t>TN</w:t>
            </w:r>
          </w:p>
          <w:p w14:paraId="0D935A36" w14:textId="77777777" w:rsidR="003730C2" w:rsidRPr="003003C4" w:rsidRDefault="003730C2" w:rsidP="00302827">
            <w:pPr>
              <w:jc w:val="center"/>
              <w:rPr>
                <w:bCs/>
                <w:sz w:val="21"/>
                <w:szCs w:val="21"/>
              </w:rPr>
            </w:pPr>
            <w:r w:rsidRPr="003003C4">
              <w:rPr>
                <w:bCs/>
                <w:sz w:val="21"/>
                <w:szCs w:val="21"/>
              </w:rPr>
              <w:t>TW</w:t>
            </w:r>
            <w:r w:rsidRPr="003003C4">
              <w:rPr>
                <w:bCs/>
                <w:sz w:val="21"/>
                <w:szCs w:val="21"/>
              </w:rPr>
              <w:sym w:font="Wingdings" w:char="F0E0"/>
            </w:r>
            <w:r w:rsidRPr="003003C4">
              <w:rPr>
                <w:bCs/>
                <w:sz w:val="21"/>
                <w:szCs w:val="21"/>
              </w:rPr>
              <w:t>NW</w:t>
            </w:r>
          </w:p>
        </w:tc>
        <w:tc>
          <w:tcPr>
            <w:tcW w:w="577" w:type="pct"/>
            <w:vMerge/>
            <w:tcBorders>
              <w:left w:val="single" w:sz="12" w:space="0" w:color="auto"/>
              <w:bottom w:val="double" w:sz="4" w:space="0" w:color="auto"/>
              <w:right w:val="double" w:sz="4" w:space="0" w:color="auto"/>
            </w:tcBorders>
            <w:tcMar>
              <w:left w:w="58" w:type="dxa"/>
              <w:right w:w="58" w:type="dxa"/>
            </w:tcMar>
            <w:vAlign w:val="center"/>
            <w:hideMark/>
          </w:tcPr>
          <w:p w14:paraId="68F8907F" w14:textId="77777777" w:rsidR="003730C2" w:rsidRPr="003003C4" w:rsidRDefault="003730C2" w:rsidP="00302827">
            <w:pPr>
              <w:rPr>
                <w:b/>
                <w:sz w:val="21"/>
                <w:szCs w:val="21"/>
              </w:rPr>
            </w:pPr>
          </w:p>
        </w:tc>
      </w:tr>
      <w:tr w:rsidR="00E465D0" w:rsidRPr="003003C4" w14:paraId="15BF9197" w14:textId="77777777" w:rsidTr="003730C2">
        <w:tc>
          <w:tcPr>
            <w:tcW w:w="5000" w:type="pct"/>
            <w:gridSpan w:val="7"/>
            <w:tcBorders>
              <w:top w:val="double" w:sz="4" w:space="0" w:color="auto"/>
              <w:left w:val="double" w:sz="4" w:space="0" w:color="auto"/>
              <w:bottom w:val="double" w:sz="4" w:space="0" w:color="auto"/>
              <w:right w:val="double" w:sz="4" w:space="0" w:color="auto"/>
            </w:tcBorders>
            <w:tcMar>
              <w:left w:w="58" w:type="dxa"/>
              <w:right w:w="58" w:type="dxa"/>
            </w:tcMar>
            <w:vAlign w:val="center"/>
            <w:hideMark/>
          </w:tcPr>
          <w:p w14:paraId="136E9E67" w14:textId="77777777" w:rsidR="00E465D0" w:rsidRPr="003003C4" w:rsidRDefault="00E465D0" w:rsidP="00302827">
            <w:pPr>
              <w:rPr>
                <w:bCs/>
                <w:sz w:val="21"/>
                <w:szCs w:val="21"/>
              </w:rPr>
            </w:pPr>
            <w:r w:rsidRPr="003003C4">
              <w:rPr>
                <w:b/>
                <w:i/>
                <w:iCs/>
                <w:sz w:val="21"/>
                <w:szCs w:val="21"/>
              </w:rPr>
              <w:t>Individual and Household-level Characteristics</w:t>
            </w:r>
          </w:p>
        </w:tc>
      </w:tr>
      <w:tr w:rsidR="003730C2" w:rsidRPr="003003C4" w14:paraId="4A62E1CA" w14:textId="77777777" w:rsidTr="003220CB">
        <w:tc>
          <w:tcPr>
            <w:tcW w:w="708" w:type="pct"/>
            <w:vMerge w:val="restart"/>
            <w:tcBorders>
              <w:top w:val="double" w:sz="4" w:space="0" w:color="auto"/>
              <w:left w:val="double" w:sz="4" w:space="0" w:color="auto"/>
              <w:bottom w:val="single" w:sz="4" w:space="0" w:color="auto"/>
              <w:right w:val="single" w:sz="4" w:space="0" w:color="auto"/>
            </w:tcBorders>
            <w:tcMar>
              <w:left w:w="58" w:type="dxa"/>
              <w:right w:w="58" w:type="dxa"/>
            </w:tcMar>
            <w:vAlign w:val="center"/>
            <w:hideMark/>
          </w:tcPr>
          <w:p w14:paraId="7140FBDC" w14:textId="77777777" w:rsidR="00E465D0" w:rsidRPr="003003C4" w:rsidRDefault="00E465D0" w:rsidP="003730C2">
            <w:pPr>
              <w:jc w:val="left"/>
              <w:rPr>
                <w:bCs/>
                <w:sz w:val="21"/>
                <w:szCs w:val="21"/>
              </w:rPr>
            </w:pPr>
            <w:r w:rsidRPr="003003C4">
              <w:rPr>
                <w:bCs/>
                <w:sz w:val="21"/>
                <w:szCs w:val="21"/>
              </w:rPr>
              <w:t xml:space="preserve">Gender </w:t>
            </w:r>
          </w:p>
        </w:tc>
        <w:tc>
          <w:tcPr>
            <w:tcW w:w="1427" w:type="pct"/>
            <w:tcBorders>
              <w:top w:val="double" w:sz="4" w:space="0" w:color="auto"/>
              <w:left w:val="single" w:sz="4" w:space="0" w:color="auto"/>
              <w:bottom w:val="single" w:sz="4" w:space="0" w:color="auto"/>
              <w:right w:val="single" w:sz="12" w:space="0" w:color="auto"/>
            </w:tcBorders>
            <w:tcMar>
              <w:left w:w="58" w:type="dxa"/>
              <w:right w:w="58" w:type="dxa"/>
            </w:tcMar>
            <w:vAlign w:val="center"/>
            <w:hideMark/>
          </w:tcPr>
          <w:p w14:paraId="650B14FD" w14:textId="77777777" w:rsidR="00E465D0" w:rsidRPr="003003C4" w:rsidRDefault="00E465D0" w:rsidP="003730C2">
            <w:pPr>
              <w:jc w:val="left"/>
              <w:rPr>
                <w:bCs/>
                <w:sz w:val="21"/>
                <w:szCs w:val="21"/>
              </w:rPr>
            </w:pPr>
            <w:r w:rsidRPr="003003C4">
              <w:rPr>
                <w:bCs/>
                <w:sz w:val="21"/>
                <w:szCs w:val="21"/>
              </w:rPr>
              <w:t>Female</w:t>
            </w:r>
          </w:p>
        </w:tc>
        <w:tc>
          <w:tcPr>
            <w:tcW w:w="578" w:type="pct"/>
            <w:tcBorders>
              <w:top w:val="double" w:sz="4" w:space="0" w:color="auto"/>
              <w:left w:val="single" w:sz="12" w:space="0" w:color="auto"/>
              <w:bottom w:val="single" w:sz="4" w:space="0" w:color="auto"/>
              <w:right w:val="single" w:sz="4" w:space="0" w:color="auto"/>
            </w:tcBorders>
            <w:tcMar>
              <w:left w:w="58" w:type="dxa"/>
              <w:right w:w="58" w:type="dxa"/>
            </w:tcMar>
            <w:vAlign w:val="center"/>
          </w:tcPr>
          <w:p w14:paraId="753127AA" w14:textId="77777777" w:rsidR="00E465D0" w:rsidRPr="003003C4" w:rsidRDefault="00E465D0" w:rsidP="003220CB">
            <w:pPr>
              <w:jc w:val="right"/>
              <w:rPr>
                <w:bCs/>
                <w:sz w:val="21"/>
                <w:szCs w:val="21"/>
              </w:rPr>
            </w:pPr>
            <w:r w:rsidRPr="003003C4">
              <w:rPr>
                <w:color w:val="000000"/>
                <w:sz w:val="21"/>
                <w:szCs w:val="21"/>
              </w:rPr>
              <w:t>48.5</w:t>
            </w:r>
          </w:p>
        </w:tc>
        <w:tc>
          <w:tcPr>
            <w:tcW w:w="566" w:type="pct"/>
            <w:tcBorders>
              <w:top w:val="double" w:sz="4" w:space="0" w:color="auto"/>
              <w:left w:val="single" w:sz="4" w:space="0" w:color="auto"/>
              <w:bottom w:val="single" w:sz="4" w:space="0" w:color="auto"/>
              <w:right w:val="single" w:sz="12" w:space="0" w:color="auto"/>
            </w:tcBorders>
            <w:tcMar>
              <w:left w:w="58" w:type="dxa"/>
              <w:right w:w="58" w:type="dxa"/>
            </w:tcMar>
            <w:vAlign w:val="center"/>
          </w:tcPr>
          <w:p w14:paraId="79CBAB53" w14:textId="77777777" w:rsidR="00E465D0" w:rsidRPr="003003C4" w:rsidRDefault="00E465D0" w:rsidP="003220CB">
            <w:pPr>
              <w:jc w:val="right"/>
              <w:rPr>
                <w:bCs/>
                <w:sz w:val="21"/>
                <w:szCs w:val="21"/>
              </w:rPr>
            </w:pPr>
            <w:r w:rsidRPr="003003C4">
              <w:rPr>
                <w:color w:val="000000"/>
                <w:sz w:val="21"/>
                <w:szCs w:val="21"/>
              </w:rPr>
              <w:t>49.1</w:t>
            </w:r>
          </w:p>
        </w:tc>
        <w:tc>
          <w:tcPr>
            <w:tcW w:w="581" w:type="pct"/>
            <w:tcBorders>
              <w:top w:val="double" w:sz="4" w:space="0" w:color="auto"/>
              <w:left w:val="single" w:sz="12" w:space="0" w:color="auto"/>
              <w:bottom w:val="single" w:sz="4" w:space="0" w:color="auto"/>
              <w:right w:val="single" w:sz="4" w:space="0" w:color="auto"/>
            </w:tcBorders>
            <w:tcMar>
              <w:left w:w="58" w:type="dxa"/>
              <w:right w:w="58" w:type="dxa"/>
            </w:tcMar>
            <w:vAlign w:val="center"/>
          </w:tcPr>
          <w:p w14:paraId="1578980D" w14:textId="77777777" w:rsidR="00E465D0" w:rsidRPr="003003C4" w:rsidRDefault="00E465D0" w:rsidP="003220CB">
            <w:pPr>
              <w:jc w:val="right"/>
              <w:rPr>
                <w:bCs/>
                <w:sz w:val="21"/>
                <w:szCs w:val="21"/>
              </w:rPr>
            </w:pPr>
            <w:r w:rsidRPr="003003C4">
              <w:rPr>
                <w:color w:val="000000"/>
                <w:sz w:val="21"/>
                <w:szCs w:val="21"/>
              </w:rPr>
              <w:t>64.6</w:t>
            </w:r>
          </w:p>
        </w:tc>
        <w:tc>
          <w:tcPr>
            <w:tcW w:w="563" w:type="pct"/>
            <w:tcBorders>
              <w:top w:val="double" w:sz="4" w:space="0" w:color="auto"/>
              <w:left w:val="single" w:sz="4" w:space="0" w:color="auto"/>
              <w:bottom w:val="single" w:sz="4" w:space="0" w:color="auto"/>
              <w:right w:val="single" w:sz="12" w:space="0" w:color="auto"/>
            </w:tcBorders>
            <w:tcMar>
              <w:left w:w="58" w:type="dxa"/>
              <w:right w:w="58" w:type="dxa"/>
            </w:tcMar>
            <w:vAlign w:val="center"/>
          </w:tcPr>
          <w:p w14:paraId="4E6DD8CE" w14:textId="77777777" w:rsidR="00E465D0" w:rsidRPr="003003C4" w:rsidRDefault="00E465D0" w:rsidP="003220CB">
            <w:pPr>
              <w:jc w:val="right"/>
              <w:rPr>
                <w:bCs/>
                <w:sz w:val="21"/>
                <w:szCs w:val="21"/>
              </w:rPr>
            </w:pPr>
            <w:r w:rsidRPr="003003C4">
              <w:rPr>
                <w:color w:val="000000"/>
                <w:sz w:val="21"/>
                <w:szCs w:val="21"/>
              </w:rPr>
              <w:t>35.4</w:t>
            </w:r>
          </w:p>
        </w:tc>
        <w:tc>
          <w:tcPr>
            <w:tcW w:w="577" w:type="pct"/>
            <w:tcBorders>
              <w:top w:val="double" w:sz="4" w:space="0" w:color="auto"/>
              <w:left w:val="single" w:sz="12" w:space="0" w:color="auto"/>
              <w:bottom w:val="single" w:sz="4" w:space="0" w:color="auto"/>
              <w:right w:val="double" w:sz="4" w:space="0" w:color="auto"/>
            </w:tcBorders>
            <w:tcMar>
              <w:left w:w="58" w:type="dxa"/>
              <w:right w:w="58" w:type="dxa"/>
            </w:tcMar>
            <w:vAlign w:val="center"/>
          </w:tcPr>
          <w:p w14:paraId="67232582" w14:textId="77777777" w:rsidR="00E465D0" w:rsidRPr="003003C4" w:rsidRDefault="00E465D0" w:rsidP="003220CB">
            <w:pPr>
              <w:jc w:val="right"/>
              <w:rPr>
                <w:bCs/>
                <w:sz w:val="21"/>
                <w:szCs w:val="21"/>
              </w:rPr>
            </w:pPr>
            <w:r w:rsidRPr="003003C4">
              <w:rPr>
                <w:bCs/>
                <w:sz w:val="21"/>
                <w:szCs w:val="21"/>
              </w:rPr>
              <w:t>48.7</w:t>
            </w:r>
          </w:p>
        </w:tc>
      </w:tr>
      <w:tr w:rsidR="003730C2" w:rsidRPr="003003C4" w14:paraId="2E74CE50" w14:textId="77777777" w:rsidTr="003220CB">
        <w:tc>
          <w:tcPr>
            <w:tcW w:w="708" w:type="pct"/>
            <w:vMerge/>
            <w:tcBorders>
              <w:top w:val="double" w:sz="4" w:space="0" w:color="auto"/>
              <w:left w:val="double" w:sz="4" w:space="0" w:color="auto"/>
              <w:bottom w:val="single" w:sz="4" w:space="0" w:color="auto"/>
              <w:right w:val="single" w:sz="4" w:space="0" w:color="auto"/>
            </w:tcBorders>
            <w:tcMar>
              <w:left w:w="58" w:type="dxa"/>
              <w:right w:w="58" w:type="dxa"/>
            </w:tcMar>
            <w:vAlign w:val="center"/>
            <w:hideMark/>
          </w:tcPr>
          <w:p w14:paraId="4E7CDBFF"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hideMark/>
          </w:tcPr>
          <w:p w14:paraId="2710A8C5" w14:textId="77777777" w:rsidR="00E465D0" w:rsidRPr="003003C4" w:rsidRDefault="00E465D0" w:rsidP="003730C2">
            <w:pPr>
              <w:jc w:val="left"/>
              <w:rPr>
                <w:bCs/>
                <w:sz w:val="21"/>
                <w:szCs w:val="21"/>
              </w:rPr>
            </w:pPr>
            <w:r w:rsidRPr="003003C4">
              <w:rPr>
                <w:bCs/>
                <w:sz w:val="21"/>
                <w:szCs w:val="21"/>
              </w:rPr>
              <w:t>Male*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45274CF5" w14:textId="77777777" w:rsidR="00E465D0" w:rsidRPr="003003C4" w:rsidRDefault="00E465D0" w:rsidP="003220CB">
            <w:pPr>
              <w:jc w:val="right"/>
              <w:rPr>
                <w:bCs/>
                <w:sz w:val="21"/>
                <w:szCs w:val="21"/>
              </w:rPr>
            </w:pPr>
            <w:r w:rsidRPr="003003C4">
              <w:rPr>
                <w:color w:val="000000"/>
                <w:sz w:val="21"/>
                <w:szCs w:val="21"/>
              </w:rPr>
              <w:t>51.5</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FC0201C" w14:textId="77777777" w:rsidR="00E465D0" w:rsidRPr="003003C4" w:rsidRDefault="00E465D0" w:rsidP="003220CB">
            <w:pPr>
              <w:jc w:val="right"/>
              <w:rPr>
                <w:bCs/>
                <w:sz w:val="21"/>
                <w:szCs w:val="21"/>
              </w:rPr>
            </w:pPr>
            <w:r w:rsidRPr="003003C4">
              <w:rPr>
                <w:color w:val="000000"/>
                <w:sz w:val="21"/>
                <w:szCs w:val="21"/>
              </w:rPr>
              <w:t>50.9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89C8220" w14:textId="77777777" w:rsidR="00E465D0" w:rsidRPr="003003C4" w:rsidRDefault="00E465D0" w:rsidP="003220CB">
            <w:pPr>
              <w:jc w:val="right"/>
              <w:rPr>
                <w:bCs/>
                <w:sz w:val="21"/>
                <w:szCs w:val="21"/>
              </w:rPr>
            </w:pPr>
            <w:r w:rsidRPr="003003C4">
              <w:rPr>
                <w:color w:val="000000"/>
                <w:sz w:val="21"/>
                <w:szCs w:val="21"/>
              </w:rPr>
              <w:t>65.1</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738E90F" w14:textId="77777777" w:rsidR="00E465D0" w:rsidRPr="003003C4" w:rsidRDefault="00E465D0" w:rsidP="003220CB">
            <w:pPr>
              <w:jc w:val="right"/>
              <w:rPr>
                <w:bCs/>
                <w:sz w:val="21"/>
                <w:szCs w:val="21"/>
              </w:rPr>
            </w:pPr>
            <w:r w:rsidRPr="003003C4">
              <w:rPr>
                <w:color w:val="000000"/>
                <w:sz w:val="21"/>
                <w:szCs w:val="21"/>
              </w:rPr>
              <w:t>34.9</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2D51995A" w14:textId="77777777" w:rsidR="00E465D0" w:rsidRPr="003003C4" w:rsidRDefault="00E465D0" w:rsidP="003220CB">
            <w:pPr>
              <w:jc w:val="right"/>
              <w:rPr>
                <w:bCs/>
                <w:sz w:val="21"/>
                <w:szCs w:val="21"/>
              </w:rPr>
            </w:pPr>
            <w:r w:rsidRPr="003003C4">
              <w:rPr>
                <w:bCs/>
                <w:sz w:val="21"/>
                <w:szCs w:val="21"/>
              </w:rPr>
              <w:t>51.3</w:t>
            </w:r>
          </w:p>
        </w:tc>
      </w:tr>
      <w:tr w:rsidR="003730C2" w:rsidRPr="003003C4" w14:paraId="6ED82D28" w14:textId="77777777" w:rsidTr="003220CB">
        <w:tc>
          <w:tcPr>
            <w:tcW w:w="708" w:type="pct"/>
            <w:vMerge w:val="restart"/>
            <w:tcBorders>
              <w:top w:val="single" w:sz="4" w:space="0" w:color="auto"/>
              <w:left w:val="double" w:sz="4" w:space="0" w:color="auto"/>
              <w:right w:val="single" w:sz="4" w:space="0" w:color="auto"/>
            </w:tcBorders>
            <w:tcMar>
              <w:left w:w="58" w:type="dxa"/>
              <w:right w:w="58" w:type="dxa"/>
            </w:tcMar>
            <w:vAlign w:val="center"/>
          </w:tcPr>
          <w:p w14:paraId="521BAAE1" w14:textId="77777777" w:rsidR="00E465D0" w:rsidRPr="003003C4" w:rsidRDefault="00E465D0" w:rsidP="003730C2">
            <w:pPr>
              <w:jc w:val="left"/>
              <w:rPr>
                <w:bCs/>
                <w:sz w:val="21"/>
                <w:szCs w:val="21"/>
              </w:rPr>
            </w:pPr>
            <w:r w:rsidRPr="003003C4">
              <w:rPr>
                <w:bCs/>
                <w:sz w:val="21"/>
                <w:szCs w:val="21"/>
              </w:rPr>
              <w:t>Household children</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A774F16" w14:textId="77777777" w:rsidR="00E465D0" w:rsidRPr="003003C4" w:rsidRDefault="00E465D0" w:rsidP="003730C2">
            <w:pPr>
              <w:jc w:val="left"/>
              <w:rPr>
                <w:bCs/>
                <w:sz w:val="21"/>
                <w:szCs w:val="21"/>
              </w:rPr>
            </w:pPr>
            <w:r w:rsidRPr="003003C4">
              <w:rPr>
                <w:bCs/>
                <w:sz w:val="21"/>
                <w:szCs w:val="21"/>
              </w:rPr>
              <w:t xml:space="preserve">No children present </w:t>
            </w:r>
          </w:p>
          <w:p w14:paraId="1E21AE33" w14:textId="77777777" w:rsidR="00E465D0" w:rsidRPr="003003C4" w:rsidRDefault="00E465D0" w:rsidP="003730C2">
            <w:pPr>
              <w:jc w:val="left"/>
              <w:rPr>
                <w:bCs/>
                <w:sz w:val="21"/>
                <w:szCs w:val="21"/>
              </w:rPr>
            </w:pPr>
            <w:r w:rsidRPr="003003C4">
              <w:rPr>
                <w:bCs/>
                <w:sz w:val="21"/>
                <w:szCs w:val="21"/>
              </w:rPr>
              <w:t>(regardless of age)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0D249EA4" w14:textId="77777777" w:rsidR="00E465D0" w:rsidRPr="003003C4" w:rsidRDefault="00E465D0" w:rsidP="003220CB">
            <w:pPr>
              <w:jc w:val="right"/>
              <w:rPr>
                <w:sz w:val="21"/>
                <w:szCs w:val="21"/>
              </w:rPr>
            </w:pPr>
            <w:r w:rsidRPr="003003C4">
              <w:rPr>
                <w:color w:val="000000"/>
                <w:sz w:val="21"/>
                <w:szCs w:val="21"/>
              </w:rPr>
              <w:t>73.4</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0E6B153" w14:textId="77777777" w:rsidR="00E465D0" w:rsidRPr="003003C4" w:rsidRDefault="00E465D0" w:rsidP="003220CB">
            <w:pPr>
              <w:jc w:val="right"/>
              <w:rPr>
                <w:sz w:val="21"/>
                <w:szCs w:val="21"/>
              </w:rPr>
            </w:pPr>
            <w:r w:rsidRPr="003003C4">
              <w:rPr>
                <w:color w:val="000000"/>
                <w:sz w:val="21"/>
                <w:szCs w:val="21"/>
              </w:rPr>
              <w:t>73.2</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D2D9C63" w14:textId="77777777" w:rsidR="00E465D0" w:rsidRPr="003003C4" w:rsidRDefault="00E465D0" w:rsidP="003220CB">
            <w:pPr>
              <w:jc w:val="right"/>
              <w:rPr>
                <w:sz w:val="21"/>
                <w:szCs w:val="21"/>
              </w:rPr>
            </w:pPr>
            <w:r w:rsidRPr="003003C4">
              <w:rPr>
                <w:color w:val="000000"/>
                <w:sz w:val="21"/>
                <w:szCs w:val="21"/>
              </w:rPr>
              <w:t>64.9</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9D556A3" w14:textId="77777777" w:rsidR="00E465D0" w:rsidRPr="003003C4" w:rsidRDefault="00E465D0" w:rsidP="003220CB">
            <w:pPr>
              <w:jc w:val="right"/>
              <w:rPr>
                <w:sz w:val="21"/>
                <w:szCs w:val="21"/>
              </w:rPr>
            </w:pPr>
            <w:r w:rsidRPr="003003C4">
              <w:rPr>
                <w:color w:val="000000"/>
                <w:sz w:val="21"/>
                <w:szCs w:val="21"/>
              </w:rPr>
              <w:t>35.1</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2869686F" w14:textId="77777777" w:rsidR="00E465D0" w:rsidRPr="003003C4" w:rsidRDefault="00E465D0" w:rsidP="003220CB">
            <w:pPr>
              <w:jc w:val="right"/>
              <w:rPr>
                <w:bCs/>
                <w:sz w:val="21"/>
                <w:szCs w:val="21"/>
              </w:rPr>
            </w:pPr>
            <w:r w:rsidRPr="003003C4">
              <w:rPr>
                <w:bCs/>
                <w:sz w:val="21"/>
                <w:szCs w:val="21"/>
              </w:rPr>
              <w:t>73.3</w:t>
            </w:r>
          </w:p>
        </w:tc>
      </w:tr>
      <w:tr w:rsidR="003730C2" w:rsidRPr="003003C4" w14:paraId="19BC50FB" w14:textId="77777777" w:rsidTr="003220CB">
        <w:tc>
          <w:tcPr>
            <w:tcW w:w="708" w:type="pct"/>
            <w:vMerge/>
            <w:tcBorders>
              <w:left w:val="double" w:sz="4" w:space="0" w:color="auto"/>
              <w:right w:val="single" w:sz="4" w:space="0" w:color="auto"/>
            </w:tcBorders>
            <w:tcMar>
              <w:left w:w="58" w:type="dxa"/>
              <w:right w:w="58" w:type="dxa"/>
            </w:tcMar>
            <w:vAlign w:val="center"/>
          </w:tcPr>
          <w:p w14:paraId="764958A1"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6DA177D" w14:textId="77777777" w:rsidR="00E465D0" w:rsidRPr="003003C4" w:rsidRDefault="00E465D0" w:rsidP="003730C2">
            <w:pPr>
              <w:jc w:val="left"/>
              <w:rPr>
                <w:bCs/>
                <w:sz w:val="21"/>
                <w:szCs w:val="21"/>
              </w:rPr>
            </w:pPr>
            <w:r w:rsidRPr="003003C4">
              <w:rPr>
                <w:bCs/>
                <w:sz w:val="21"/>
                <w:szCs w:val="21"/>
              </w:rPr>
              <w:t xml:space="preserve">Children present </w:t>
            </w:r>
          </w:p>
          <w:p w14:paraId="27C4121E" w14:textId="77777777" w:rsidR="00E465D0" w:rsidRPr="003003C4" w:rsidRDefault="00E465D0" w:rsidP="003730C2">
            <w:pPr>
              <w:jc w:val="left"/>
              <w:rPr>
                <w:bCs/>
                <w:sz w:val="21"/>
                <w:szCs w:val="21"/>
              </w:rPr>
            </w:pPr>
            <w:r w:rsidRPr="003003C4">
              <w:rPr>
                <w:bCs/>
                <w:sz w:val="21"/>
                <w:szCs w:val="21"/>
              </w:rPr>
              <w:t>(regardless of age)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27F7DE8B" w14:textId="77777777" w:rsidR="00E465D0" w:rsidRPr="003003C4" w:rsidRDefault="00E465D0" w:rsidP="003220CB">
            <w:pPr>
              <w:jc w:val="right"/>
              <w:rPr>
                <w:sz w:val="21"/>
                <w:szCs w:val="21"/>
              </w:rPr>
            </w:pPr>
            <w:r w:rsidRPr="003003C4">
              <w:rPr>
                <w:color w:val="000000"/>
                <w:sz w:val="21"/>
                <w:szCs w:val="21"/>
              </w:rPr>
              <w:t>26.6</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B214592" w14:textId="77777777" w:rsidR="00E465D0" w:rsidRPr="003003C4" w:rsidRDefault="00E465D0" w:rsidP="003220CB">
            <w:pPr>
              <w:jc w:val="right"/>
              <w:rPr>
                <w:sz w:val="21"/>
                <w:szCs w:val="21"/>
              </w:rPr>
            </w:pPr>
            <w:r w:rsidRPr="003003C4">
              <w:rPr>
                <w:color w:val="000000"/>
                <w:sz w:val="21"/>
                <w:szCs w:val="21"/>
              </w:rPr>
              <w:t>26.8</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676F263" w14:textId="77777777" w:rsidR="00E465D0" w:rsidRPr="003003C4" w:rsidRDefault="00E465D0" w:rsidP="003220CB">
            <w:pPr>
              <w:jc w:val="right"/>
              <w:rPr>
                <w:sz w:val="21"/>
                <w:szCs w:val="21"/>
              </w:rPr>
            </w:pPr>
            <w:r w:rsidRPr="003003C4">
              <w:rPr>
                <w:color w:val="000000"/>
                <w:sz w:val="21"/>
                <w:szCs w:val="21"/>
              </w:rPr>
              <w:t>64.8</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4C3DC603" w14:textId="77777777" w:rsidR="00E465D0" w:rsidRPr="003003C4" w:rsidRDefault="00E465D0" w:rsidP="003220CB">
            <w:pPr>
              <w:jc w:val="right"/>
              <w:rPr>
                <w:sz w:val="21"/>
                <w:szCs w:val="21"/>
              </w:rPr>
            </w:pPr>
            <w:r w:rsidRPr="003003C4">
              <w:rPr>
                <w:color w:val="000000"/>
                <w:sz w:val="21"/>
                <w:szCs w:val="21"/>
              </w:rPr>
              <w:t>35.2</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78E23947" w14:textId="77777777" w:rsidR="00E465D0" w:rsidRPr="003003C4" w:rsidRDefault="00E465D0" w:rsidP="003220CB">
            <w:pPr>
              <w:jc w:val="right"/>
              <w:rPr>
                <w:bCs/>
                <w:sz w:val="21"/>
                <w:szCs w:val="21"/>
              </w:rPr>
            </w:pPr>
            <w:r w:rsidRPr="003003C4">
              <w:rPr>
                <w:bCs/>
                <w:sz w:val="21"/>
                <w:szCs w:val="21"/>
              </w:rPr>
              <w:t>26.7</w:t>
            </w:r>
          </w:p>
        </w:tc>
      </w:tr>
      <w:tr w:rsidR="003730C2" w:rsidRPr="003003C4" w14:paraId="2B6E982C" w14:textId="77777777" w:rsidTr="003220CB">
        <w:tc>
          <w:tcPr>
            <w:tcW w:w="708" w:type="pct"/>
            <w:vMerge w:val="restart"/>
            <w:tcBorders>
              <w:top w:val="single" w:sz="4" w:space="0" w:color="auto"/>
              <w:left w:val="double" w:sz="4" w:space="0" w:color="auto"/>
              <w:right w:val="single" w:sz="4" w:space="0" w:color="auto"/>
            </w:tcBorders>
            <w:tcMar>
              <w:left w:w="58" w:type="dxa"/>
              <w:right w:w="58" w:type="dxa"/>
            </w:tcMar>
            <w:vAlign w:val="center"/>
          </w:tcPr>
          <w:p w14:paraId="687B6E25" w14:textId="77777777" w:rsidR="00E465D0" w:rsidRPr="003003C4" w:rsidRDefault="00E465D0" w:rsidP="003730C2">
            <w:pPr>
              <w:jc w:val="left"/>
              <w:rPr>
                <w:bCs/>
                <w:sz w:val="21"/>
                <w:szCs w:val="21"/>
              </w:rPr>
            </w:pPr>
            <w:r w:rsidRPr="003003C4">
              <w:rPr>
                <w:bCs/>
                <w:sz w:val="21"/>
                <w:szCs w:val="21"/>
              </w:rPr>
              <w:t>Household structure</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23D6DC9" w14:textId="77777777" w:rsidR="00E465D0" w:rsidRPr="003003C4" w:rsidRDefault="00E465D0" w:rsidP="003730C2">
            <w:pPr>
              <w:jc w:val="left"/>
              <w:rPr>
                <w:bCs/>
                <w:sz w:val="21"/>
                <w:szCs w:val="21"/>
              </w:rPr>
            </w:pPr>
            <w:r w:rsidRPr="003003C4">
              <w:rPr>
                <w:bCs/>
                <w:sz w:val="21"/>
                <w:szCs w:val="21"/>
              </w:rPr>
              <w:t>Single Mother</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69A9AAE2" w14:textId="77777777" w:rsidR="00E465D0" w:rsidRPr="003003C4" w:rsidRDefault="00E465D0" w:rsidP="003220CB">
            <w:pPr>
              <w:jc w:val="right"/>
              <w:rPr>
                <w:sz w:val="21"/>
                <w:szCs w:val="21"/>
              </w:rPr>
            </w:pPr>
            <w:r w:rsidRPr="003003C4">
              <w:rPr>
                <w:color w:val="000000"/>
                <w:sz w:val="21"/>
                <w:szCs w:val="21"/>
              </w:rPr>
              <w:t>2.4</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D0D8B66" w14:textId="77777777" w:rsidR="00E465D0" w:rsidRPr="003003C4" w:rsidRDefault="00E465D0" w:rsidP="003220CB">
            <w:pPr>
              <w:jc w:val="right"/>
              <w:rPr>
                <w:sz w:val="21"/>
                <w:szCs w:val="21"/>
              </w:rPr>
            </w:pPr>
            <w:r w:rsidRPr="003003C4">
              <w:rPr>
                <w:color w:val="000000"/>
                <w:sz w:val="21"/>
                <w:szCs w:val="21"/>
              </w:rPr>
              <w:t>4.0</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BA9A616" w14:textId="77777777" w:rsidR="00E465D0" w:rsidRPr="003003C4" w:rsidRDefault="00E465D0" w:rsidP="003220CB">
            <w:pPr>
              <w:jc w:val="right"/>
              <w:rPr>
                <w:sz w:val="21"/>
                <w:szCs w:val="21"/>
              </w:rPr>
            </w:pPr>
            <w:r w:rsidRPr="003003C4">
              <w:rPr>
                <w:color w:val="000000"/>
                <w:sz w:val="21"/>
                <w:szCs w:val="21"/>
              </w:rPr>
              <w:t>52.0</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655989F" w14:textId="77777777" w:rsidR="00E465D0" w:rsidRPr="003003C4" w:rsidRDefault="00E465D0" w:rsidP="003220CB">
            <w:pPr>
              <w:jc w:val="right"/>
              <w:rPr>
                <w:sz w:val="21"/>
                <w:szCs w:val="21"/>
              </w:rPr>
            </w:pPr>
            <w:r w:rsidRPr="003003C4">
              <w:rPr>
                <w:color w:val="000000"/>
                <w:sz w:val="21"/>
                <w:szCs w:val="21"/>
              </w:rPr>
              <w:t>48.0</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0CCCE4B4" w14:textId="77777777" w:rsidR="00E465D0" w:rsidRPr="003003C4" w:rsidRDefault="00E465D0" w:rsidP="003220CB">
            <w:pPr>
              <w:jc w:val="right"/>
              <w:rPr>
                <w:bCs/>
                <w:sz w:val="21"/>
                <w:szCs w:val="21"/>
              </w:rPr>
            </w:pPr>
            <w:r w:rsidRPr="003003C4">
              <w:rPr>
                <w:bCs/>
                <w:sz w:val="21"/>
                <w:szCs w:val="21"/>
              </w:rPr>
              <w:t xml:space="preserve">  3.0</w:t>
            </w:r>
          </w:p>
        </w:tc>
      </w:tr>
      <w:tr w:rsidR="003730C2" w:rsidRPr="003003C4" w14:paraId="267BF652" w14:textId="77777777" w:rsidTr="003220CB">
        <w:tc>
          <w:tcPr>
            <w:tcW w:w="708" w:type="pct"/>
            <w:vMerge/>
            <w:tcBorders>
              <w:left w:val="double" w:sz="4" w:space="0" w:color="auto"/>
              <w:right w:val="single" w:sz="4" w:space="0" w:color="auto"/>
            </w:tcBorders>
            <w:tcMar>
              <w:left w:w="58" w:type="dxa"/>
              <w:right w:w="58" w:type="dxa"/>
            </w:tcMar>
            <w:vAlign w:val="center"/>
          </w:tcPr>
          <w:p w14:paraId="4CD08E19"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7E8452C" w14:textId="77777777" w:rsidR="00E465D0" w:rsidRPr="003003C4" w:rsidRDefault="00E465D0" w:rsidP="003730C2">
            <w:pPr>
              <w:jc w:val="left"/>
              <w:rPr>
                <w:bCs/>
                <w:sz w:val="21"/>
                <w:szCs w:val="21"/>
              </w:rPr>
            </w:pPr>
            <w:r w:rsidRPr="003003C4">
              <w:rPr>
                <w:bCs/>
                <w:sz w:val="21"/>
                <w:szCs w:val="21"/>
              </w:rPr>
              <w:t>Single Father</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24B29F00" w14:textId="77777777" w:rsidR="00E465D0" w:rsidRPr="003003C4" w:rsidRDefault="00E465D0" w:rsidP="003220CB">
            <w:pPr>
              <w:jc w:val="right"/>
              <w:rPr>
                <w:sz w:val="21"/>
                <w:szCs w:val="21"/>
              </w:rPr>
            </w:pPr>
            <w:r w:rsidRPr="003003C4">
              <w:rPr>
                <w:color w:val="000000"/>
                <w:sz w:val="21"/>
                <w:szCs w:val="21"/>
              </w:rPr>
              <w:t>0.8</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38A79C5" w14:textId="77777777" w:rsidR="00E465D0" w:rsidRPr="003003C4" w:rsidRDefault="00E465D0" w:rsidP="003220CB">
            <w:pPr>
              <w:jc w:val="right"/>
              <w:rPr>
                <w:sz w:val="21"/>
                <w:szCs w:val="21"/>
              </w:rPr>
            </w:pPr>
            <w:r w:rsidRPr="003003C4">
              <w:rPr>
                <w:color w:val="000000"/>
                <w:sz w:val="21"/>
                <w:szCs w:val="21"/>
              </w:rPr>
              <w:t>1.5</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226E724E" w14:textId="77777777" w:rsidR="00E465D0" w:rsidRPr="003003C4" w:rsidRDefault="00E465D0" w:rsidP="003220CB">
            <w:pPr>
              <w:jc w:val="right"/>
              <w:rPr>
                <w:sz w:val="21"/>
                <w:szCs w:val="21"/>
              </w:rPr>
            </w:pPr>
            <w:r w:rsidRPr="003003C4">
              <w:rPr>
                <w:color w:val="000000"/>
                <w:sz w:val="21"/>
                <w:szCs w:val="21"/>
              </w:rPr>
              <w:t>51.6</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223D802" w14:textId="77777777" w:rsidR="00E465D0" w:rsidRPr="003003C4" w:rsidRDefault="00E465D0" w:rsidP="003220CB">
            <w:pPr>
              <w:jc w:val="right"/>
              <w:rPr>
                <w:sz w:val="21"/>
                <w:szCs w:val="21"/>
              </w:rPr>
            </w:pPr>
            <w:r w:rsidRPr="003003C4">
              <w:rPr>
                <w:color w:val="000000"/>
                <w:sz w:val="21"/>
                <w:szCs w:val="21"/>
              </w:rPr>
              <w:t>48.4</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342264A6" w14:textId="77777777" w:rsidR="00E465D0" w:rsidRPr="003003C4" w:rsidRDefault="00E465D0" w:rsidP="003220CB">
            <w:pPr>
              <w:jc w:val="right"/>
              <w:rPr>
                <w:bCs/>
                <w:sz w:val="21"/>
                <w:szCs w:val="21"/>
              </w:rPr>
            </w:pPr>
            <w:r w:rsidRPr="003003C4">
              <w:rPr>
                <w:bCs/>
                <w:sz w:val="21"/>
                <w:szCs w:val="21"/>
              </w:rPr>
              <w:t xml:space="preserve">  1.3</w:t>
            </w:r>
          </w:p>
        </w:tc>
      </w:tr>
      <w:tr w:rsidR="003730C2" w:rsidRPr="003003C4" w14:paraId="683FDE49" w14:textId="77777777" w:rsidTr="003220CB">
        <w:tc>
          <w:tcPr>
            <w:tcW w:w="708" w:type="pct"/>
            <w:vMerge/>
            <w:tcBorders>
              <w:left w:val="double" w:sz="4" w:space="0" w:color="auto"/>
              <w:right w:val="single" w:sz="4" w:space="0" w:color="auto"/>
            </w:tcBorders>
            <w:tcMar>
              <w:left w:w="58" w:type="dxa"/>
              <w:right w:w="58" w:type="dxa"/>
            </w:tcMar>
            <w:vAlign w:val="center"/>
          </w:tcPr>
          <w:p w14:paraId="7CA5733D"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242E7FD" w14:textId="77777777" w:rsidR="00E465D0" w:rsidRPr="003003C4" w:rsidRDefault="00E465D0" w:rsidP="003730C2">
            <w:pPr>
              <w:jc w:val="left"/>
              <w:rPr>
                <w:bCs/>
                <w:sz w:val="21"/>
                <w:szCs w:val="21"/>
              </w:rPr>
            </w:pPr>
            <w:r w:rsidRPr="003003C4">
              <w:rPr>
                <w:bCs/>
                <w:sz w:val="21"/>
                <w:szCs w:val="21"/>
              </w:rPr>
              <w:t>Parent who lives with partner</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0BCAC66E" w14:textId="77777777" w:rsidR="00E465D0" w:rsidRPr="003003C4" w:rsidRDefault="00E465D0" w:rsidP="003220CB">
            <w:pPr>
              <w:jc w:val="right"/>
              <w:rPr>
                <w:sz w:val="21"/>
                <w:szCs w:val="21"/>
              </w:rPr>
            </w:pPr>
            <w:r w:rsidRPr="003003C4">
              <w:rPr>
                <w:color w:val="000000"/>
                <w:sz w:val="21"/>
                <w:szCs w:val="21"/>
              </w:rPr>
              <w:t>22.8</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D2B24A0" w14:textId="77777777" w:rsidR="00E465D0" w:rsidRPr="003003C4" w:rsidRDefault="00E465D0" w:rsidP="003220CB">
            <w:pPr>
              <w:jc w:val="right"/>
              <w:rPr>
                <w:sz w:val="21"/>
                <w:szCs w:val="21"/>
              </w:rPr>
            </w:pPr>
            <w:r w:rsidRPr="003003C4">
              <w:rPr>
                <w:color w:val="000000"/>
                <w:sz w:val="21"/>
                <w:szCs w:val="21"/>
              </w:rPr>
              <w:t>20.4</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B2916F1" w14:textId="77777777" w:rsidR="00E465D0" w:rsidRPr="003003C4" w:rsidRDefault="00E465D0" w:rsidP="003220CB">
            <w:pPr>
              <w:jc w:val="right"/>
              <w:rPr>
                <w:sz w:val="21"/>
                <w:szCs w:val="21"/>
              </w:rPr>
            </w:pPr>
            <w:r w:rsidRPr="003003C4">
              <w:rPr>
                <w:color w:val="000000"/>
                <w:sz w:val="21"/>
                <w:szCs w:val="21"/>
              </w:rPr>
              <w:t>67.4</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2620F76" w14:textId="77777777" w:rsidR="00E465D0" w:rsidRPr="003003C4" w:rsidRDefault="00E465D0" w:rsidP="003220CB">
            <w:pPr>
              <w:jc w:val="right"/>
              <w:rPr>
                <w:sz w:val="21"/>
                <w:szCs w:val="21"/>
              </w:rPr>
            </w:pPr>
            <w:r w:rsidRPr="003003C4">
              <w:rPr>
                <w:color w:val="000000"/>
                <w:sz w:val="21"/>
                <w:szCs w:val="21"/>
              </w:rPr>
              <w:t>32.6</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36F82212" w14:textId="77777777" w:rsidR="00E465D0" w:rsidRPr="003003C4" w:rsidRDefault="00E465D0" w:rsidP="003220CB">
            <w:pPr>
              <w:jc w:val="right"/>
              <w:rPr>
                <w:bCs/>
                <w:sz w:val="21"/>
                <w:szCs w:val="21"/>
              </w:rPr>
            </w:pPr>
            <w:r w:rsidRPr="003003C4">
              <w:rPr>
                <w:bCs/>
                <w:sz w:val="21"/>
                <w:szCs w:val="21"/>
              </w:rPr>
              <w:t>22.4</w:t>
            </w:r>
          </w:p>
        </w:tc>
      </w:tr>
      <w:tr w:rsidR="003730C2" w:rsidRPr="003003C4" w14:paraId="408AD02B" w14:textId="77777777" w:rsidTr="003220CB">
        <w:tc>
          <w:tcPr>
            <w:tcW w:w="708" w:type="pct"/>
            <w:vMerge/>
            <w:tcBorders>
              <w:left w:val="double" w:sz="4" w:space="0" w:color="auto"/>
              <w:bottom w:val="single" w:sz="4" w:space="0" w:color="auto"/>
              <w:right w:val="single" w:sz="4" w:space="0" w:color="auto"/>
            </w:tcBorders>
            <w:tcMar>
              <w:left w:w="58" w:type="dxa"/>
              <w:right w:w="58" w:type="dxa"/>
            </w:tcMar>
            <w:vAlign w:val="center"/>
          </w:tcPr>
          <w:p w14:paraId="753F76E0"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EC05FD8" w14:textId="77777777" w:rsidR="00E465D0" w:rsidRPr="003003C4" w:rsidRDefault="00E465D0" w:rsidP="003730C2">
            <w:pPr>
              <w:jc w:val="left"/>
              <w:rPr>
                <w:bCs/>
                <w:sz w:val="21"/>
                <w:szCs w:val="21"/>
              </w:rPr>
            </w:pPr>
            <w:r w:rsidRPr="003003C4">
              <w:rPr>
                <w:sz w:val="21"/>
                <w:szCs w:val="21"/>
              </w:rPr>
              <w:t>Others**</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529ADAB" w14:textId="77777777" w:rsidR="00E465D0" w:rsidRPr="003003C4" w:rsidRDefault="00E465D0" w:rsidP="003220CB">
            <w:pPr>
              <w:jc w:val="right"/>
              <w:rPr>
                <w:sz w:val="21"/>
                <w:szCs w:val="21"/>
              </w:rPr>
            </w:pPr>
            <w:r w:rsidRPr="003003C4">
              <w:rPr>
                <w:color w:val="000000"/>
                <w:sz w:val="21"/>
                <w:szCs w:val="21"/>
              </w:rPr>
              <w:t>74.0</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AF86EE9" w14:textId="77777777" w:rsidR="00E465D0" w:rsidRPr="003003C4" w:rsidRDefault="00E465D0" w:rsidP="003220CB">
            <w:pPr>
              <w:jc w:val="right"/>
              <w:rPr>
                <w:sz w:val="21"/>
                <w:szCs w:val="21"/>
              </w:rPr>
            </w:pPr>
            <w:r w:rsidRPr="003003C4">
              <w:rPr>
                <w:color w:val="000000"/>
                <w:sz w:val="21"/>
                <w:szCs w:val="21"/>
              </w:rPr>
              <w:t>74.1</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67C3A8CC" w14:textId="77777777" w:rsidR="00E465D0" w:rsidRPr="003003C4" w:rsidRDefault="00E465D0" w:rsidP="003220CB">
            <w:pPr>
              <w:jc w:val="right"/>
              <w:rPr>
                <w:sz w:val="21"/>
                <w:szCs w:val="21"/>
              </w:rPr>
            </w:pPr>
            <w:r w:rsidRPr="003003C4">
              <w:rPr>
                <w:color w:val="000000"/>
                <w:sz w:val="21"/>
                <w:szCs w:val="21"/>
              </w:rPr>
              <w:t>64.8</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82F973D" w14:textId="77777777" w:rsidR="00E465D0" w:rsidRPr="003003C4" w:rsidRDefault="00E465D0" w:rsidP="003220CB">
            <w:pPr>
              <w:jc w:val="right"/>
              <w:rPr>
                <w:sz w:val="21"/>
                <w:szCs w:val="21"/>
              </w:rPr>
            </w:pPr>
            <w:r w:rsidRPr="003003C4">
              <w:rPr>
                <w:color w:val="000000"/>
                <w:sz w:val="21"/>
                <w:szCs w:val="21"/>
              </w:rPr>
              <w:t>35.2</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34C9E60A" w14:textId="77777777" w:rsidR="00E465D0" w:rsidRPr="003003C4" w:rsidRDefault="00E465D0" w:rsidP="003220CB">
            <w:pPr>
              <w:jc w:val="right"/>
              <w:rPr>
                <w:bCs/>
                <w:sz w:val="21"/>
                <w:szCs w:val="21"/>
              </w:rPr>
            </w:pPr>
            <w:r w:rsidRPr="003003C4">
              <w:rPr>
                <w:bCs/>
                <w:sz w:val="21"/>
                <w:szCs w:val="21"/>
              </w:rPr>
              <w:t>73.3</w:t>
            </w:r>
          </w:p>
        </w:tc>
      </w:tr>
      <w:tr w:rsidR="003730C2" w:rsidRPr="003003C4" w14:paraId="3FEA4479" w14:textId="77777777" w:rsidTr="003220CB">
        <w:tc>
          <w:tcPr>
            <w:tcW w:w="708" w:type="pct"/>
            <w:vMerge w:val="restart"/>
            <w:tcBorders>
              <w:left w:val="double" w:sz="4" w:space="0" w:color="auto"/>
              <w:right w:val="single" w:sz="4" w:space="0" w:color="auto"/>
            </w:tcBorders>
            <w:tcMar>
              <w:left w:w="58" w:type="dxa"/>
              <w:right w:w="58" w:type="dxa"/>
            </w:tcMar>
            <w:vAlign w:val="center"/>
          </w:tcPr>
          <w:p w14:paraId="2860E6DA" w14:textId="77777777" w:rsidR="00E465D0" w:rsidRPr="003003C4" w:rsidRDefault="00E465D0" w:rsidP="003730C2">
            <w:pPr>
              <w:jc w:val="left"/>
              <w:rPr>
                <w:bCs/>
                <w:sz w:val="21"/>
                <w:szCs w:val="21"/>
              </w:rPr>
            </w:pPr>
            <w:r w:rsidRPr="003003C4">
              <w:rPr>
                <w:bCs/>
                <w:sz w:val="21"/>
                <w:szCs w:val="21"/>
              </w:rPr>
              <w:t>Age</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884FBE2" w14:textId="77777777" w:rsidR="00E465D0" w:rsidRPr="003003C4" w:rsidRDefault="00E465D0" w:rsidP="003730C2">
            <w:pPr>
              <w:jc w:val="left"/>
              <w:rPr>
                <w:bCs/>
                <w:sz w:val="21"/>
                <w:szCs w:val="21"/>
              </w:rPr>
            </w:pPr>
            <w:r w:rsidRPr="003003C4">
              <w:rPr>
                <w:bCs/>
                <w:sz w:val="21"/>
                <w:szCs w:val="21"/>
              </w:rPr>
              <w:t xml:space="preserve">18 to 34 </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10BFD9E8" w14:textId="77777777" w:rsidR="00E465D0" w:rsidRPr="003003C4" w:rsidRDefault="00E465D0" w:rsidP="003220CB">
            <w:pPr>
              <w:jc w:val="right"/>
              <w:rPr>
                <w:sz w:val="21"/>
                <w:szCs w:val="21"/>
              </w:rPr>
            </w:pPr>
            <w:r w:rsidRPr="003003C4">
              <w:rPr>
                <w:color w:val="000000"/>
                <w:sz w:val="21"/>
                <w:szCs w:val="21"/>
              </w:rPr>
              <w:t>37.0</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B1753BA" w14:textId="77777777" w:rsidR="00E465D0" w:rsidRPr="003003C4" w:rsidRDefault="00E465D0" w:rsidP="003220CB">
            <w:pPr>
              <w:jc w:val="right"/>
              <w:rPr>
                <w:sz w:val="21"/>
                <w:szCs w:val="21"/>
              </w:rPr>
            </w:pPr>
            <w:r w:rsidRPr="003003C4">
              <w:rPr>
                <w:color w:val="000000"/>
                <w:sz w:val="21"/>
                <w:szCs w:val="21"/>
              </w:rPr>
              <w:t>40.7</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8F3D41F" w14:textId="77777777" w:rsidR="00E465D0" w:rsidRPr="003003C4" w:rsidRDefault="00E465D0" w:rsidP="003220CB">
            <w:pPr>
              <w:jc w:val="right"/>
              <w:rPr>
                <w:sz w:val="21"/>
                <w:szCs w:val="21"/>
              </w:rPr>
            </w:pPr>
            <w:r w:rsidRPr="003003C4">
              <w:rPr>
                <w:color w:val="000000"/>
                <w:sz w:val="21"/>
                <w:szCs w:val="21"/>
              </w:rPr>
              <w:t>62.6</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D1D8306" w14:textId="77777777" w:rsidR="00E465D0" w:rsidRPr="003003C4" w:rsidRDefault="00E465D0" w:rsidP="003220CB">
            <w:pPr>
              <w:jc w:val="right"/>
              <w:rPr>
                <w:sz w:val="21"/>
                <w:szCs w:val="21"/>
              </w:rPr>
            </w:pPr>
            <w:r w:rsidRPr="003003C4">
              <w:rPr>
                <w:color w:val="000000"/>
                <w:sz w:val="21"/>
                <w:szCs w:val="21"/>
              </w:rPr>
              <w:t>37.4</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70386E3E" w14:textId="77777777" w:rsidR="00E465D0" w:rsidRPr="003003C4" w:rsidRDefault="00E465D0" w:rsidP="003220CB">
            <w:pPr>
              <w:jc w:val="right"/>
              <w:rPr>
                <w:bCs/>
                <w:sz w:val="21"/>
                <w:szCs w:val="21"/>
              </w:rPr>
            </w:pPr>
            <w:r w:rsidRPr="003003C4">
              <w:rPr>
                <w:sz w:val="21"/>
                <w:szCs w:val="21"/>
              </w:rPr>
              <w:t>38.3</w:t>
            </w:r>
          </w:p>
        </w:tc>
      </w:tr>
      <w:tr w:rsidR="003730C2" w:rsidRPr="003003C4" w14:paraId="617CAF74" w14:textId="77777777" w:rsidTr="003220CB">
        <w:tc>
          <w:tcPr>
            <w:tcW w:w="708" w:type="pct"/>
            <w:vMerge/>
            <w:tcBorders>
              <w:left w:val="double" w:sz="4" w:space="0" w:color="auto"/>
              <w:right w:val="single" w:sz="4" w:space="0" w:color="auto"/>
            </w:tcBorders>
            <w:tcMar>
              <w:left w:w="58" w:type="dxa"/>
              <w:right w:w="58" w:type="dxa"/>
            </w:tcMar>
            <w:vAlign w:val="center"/>
          </w:tcPr>
          <w:p w14:paraId="1951AADA"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D143F50" w14:textId="77777777" w:rsidR="00E465D0" w:rsidRPr="003003C4" w:rsidRDefault="00E465D0" w:rsidP="003730C2">
            <w:pPr>
              <w:jc w:val="left"/>
              <w:rPr>
                <w:bCs/>
                <w:sz w:val="21"/>
                <w:szCs w:val="21"/>
              </w:rPr>
            </w:pPr>
            <w:r w:rsidRPr="003003C4">
              <w:rPr>
                <w:bCs/>
                <w:sz w:val="21"/>
                <w:szCs w:val="21"/>
              </w:rPr>
              <w:t>35 to 44</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CCDE343" w14:textId="77777777" w:rsidR="00E465D0" w:rsidRPr="003003C4" w:rsidRDefault="00E465D0" w:rsidP="003220CB">
            <w:pPr>
              <w:jc w:val="right"/>
              <w:rPr>
                <w:sz w:val="21"/>
                <w:szCs w:val="21"/>
              </w:rPr>
            </w:pPr>
            <w:r w:rsidRPr="003003C4">
              <w:rPr>
                <w:color w:val="000000"/>
                <w:sz w:val="21"/>
                <w:szCs w:val="21"/>
              </w:rPr>
              <w:t>30.9</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41945D47" w14:textId="77777777" w:rsidR="00E465D0" w:rsidRPr="003003C4" w:rsidRDefault="00E465D0" w:rsidP="003220CB">
            <w:pPr>
              <w:jc w:val="right"/>
              <w:rPr>
                <w:sz w:val="21"/>
                <w:szCs w:val="21"/>
              </w:rPr>
            </w:pPr>
            <w:r w:rsidRPr="003003C4">
              <w:rPr>
                <w:color w:val="000000"/>
                <w:sz w:val="21"/>
                <w:szCs w:val="21"/>
              </w:rPr>
              <w:t>23.4</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3CB41C2" w14:textId="77777777" w:rsidR="00E465D0" w:rsidRPr="003003C4" w:rsidRDefault="00E465D0" w:rsidP="003220CB">
            <w:pPr>
              <w:jc w:val="right"/>
              <w:rPr>
                <w:sz w:val="21"/>
                <w:szCs w:val="21"/>
              </w:rPr>
            </w:pPr>
            <w:r w:rsidRPr="003003C4">
              <w:rPr>
                <w:color w:val="000000"/>
                <w:sz w:val="21"/>
                <w:szCs w:val="21"/>
              </w:rPr>
              <w:t>71.0</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7A6AEEE" w14:textId="77777777" w:rsidR="00E465D0" w:rsidRPr="003003C4" w:rsidRDefault="00E465D0" w:rsidP="003220CB">
            <w:pPr>
              <w:jc w:val="right"/>
              <w:rPr>
                <w:sz w:val="21"/>
                <w:szCs w:val="21"/>
              </w:rPr>
            </w:pPr>
            <w:r w:rsidRPr="003003C4">
              <w:rPr>
                <w:color w:val="000000"/>
                <w:sz w:val="21"/>
                <w:szCs w:val="21"/>
              </w:rPr>
              <w:t>29.0</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3091B941" w14:textId="77777777" w:rsidR="00E465D0" w:rsidRPr="003003C4" w:rsidRDefault="00E465D0" w:rsidP="003220CB">
            <w:pPr>
              <w:jc w:val="right"/>
              <w:rPr>
                <w:bCs/>
                <w:sz w:val="21"/>
                <w:szCs w:val="21"/>
              </w:rPr>
            </w:pPr>
            <w:r w:rsidRPr="003003C4">
              <w:rPr>
                <w:sz w:val="21"/>
                <w:szCs w:val="21"/>
              </w:rPr>
              <w:t>28.3</w:t>
            </w:r>
          </w:p>
        </w:tc>
      </w:tr>
      <w:tr w:rsidR="003730C2" w:rsidRPr="003003C4" w14:paraId="55EDD59E" w14:textId="77777777" w:rsidTr="003220CB">
        <w:tc>
          <w:tcPr>
            <w:tcW w:w="708" w:type="pct"/>
            <w:vMerge/>
            <w:tcBorders>
              <w:left w:val="double" w:sz="4" w:space="0" w:color="auto"/>
              <w:right w:val="single" w:sz="4" w:space="0" w:color="auto"/>
            </w:tcBorders>
            <w:tcMar>
              <w:left w:w="58" w:type="dxa"/>
              <w:right w:w="58" w:type="dxa"/>
            </w:tcMar>
            <w:vAlign w:val="center"/>
          </w:tcPr>
          <w:p w14:paraId="0763E1DE"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DDCA445" w14:textId="77777777" w:rsidR="00E465D0" w:rsidRPr="003003C4" w:rsidRDefault="00E465D0" w:rsidP="003730C2">
            <w:pPr>
              <w:jc w:val="left"/>
              <w:rPr>
                <w:bCs/>
                <w:sz w:val="21"/>
                <w:szCs w:val="21"/>
              </w:rPr>
            </w:pPr>
            <w:r w:rsidRPr="003003C4">
              <w:rPr>
                <w:bCs/>
                <w:sz w:val="21"/>
                <w:szCs w:val="21"/>
              </w:rPr>
              <w:t>45 to 54</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4969B65" w14:textId="77777777" w:rsidR="00E465D0" w:rsidRPr="003003C4" w:rsidRDefault="00E465D0" w:rsidP="003220CB">
            <w:pPr>
              <w:jc w:val="right"/>
              <w:rPr>
                <w:sz w:val="21"/>
                <w:szCs w:val="21"/>
              </w:rPr>
            </w:pPr>
            <w:r w:rsidRPr="003003C4">
              <w:rPr>
                <w:color w:val="000000"/>
                <w:sz w:val="21"/>
                <w:szCs w:val="21"/>
              </w:rPr>
              <w:t>15.6</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0D4519A" w14:textId="77777777" w:rsidR="00E465D0" w:rsidRPr="003003C4" w:rsidRDefault="00E465D0" w:rsidP="003220CB">
            <w:pPr>
              <w:jc w:val="right"/>
              <w:rPr>
                <w:sz w:val="21"/>
                <w:szCs w:val="21"/>
              </w:rPr>
            </w:pPr>
            <w:r w:rsidRPr="003003C4">
              <w:rPr>
                <w:color w:val="000000"/>
                <w:sz w:val="21"/>
                <w:szCs w:val="21"/>
              </w:rPr>
              <w:t>17.7</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C4B479A" w14:textId="77777777" w:rsidR="00E465D0" w:rsidRPr="003003C4" w:rsidRDefault="00E465D0" w:rsidP="003220CB">
            <w:pPr>
              <w:jc w:val="right"/>
              <w:rPr>
                <w:sz w:val="21"/>
                <w:szCs w:val="21"/>
              </w:rPr>
            </w:pPr>
            <w:r w:rsidRPr="003003C4">
              <w:rPr>
                <w:color w:val="000000"/>
                <w:sz w:val="21"/>
                <w:szCs w:val="21"/>
              </w:rPr>
              <w:t>61.7</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F06C3CD" w14:textId="77777777" w:rsidR="00E465D0" w:rsidRPr="003003C4" w:rsidRDefault="00E465D0" w:rsidP="003220CB">
            <w:pPr>
              <w:jc w:val="right"/>
              <w:rPr>
                <w:sz w:val="21"/>
                <w:szCs w:val="21"/>
              </w:rPr>
            </w:pPr>
            <w:r w:rsidRPr="003003C4">
              <w:rPr>
                <w:color w:val="000000"/>
                <w:sz w:val="21"/>
                <w:szCs w:val="21"/>
              </w:rPr>
              <w:t>38.3</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319255AF" w14:textId="77777777" w:rsidR="00E465D0" w:rsidRPr="003003C4" w:rsidRDefault="00E465D0" w:rsidP="003220CB">
            <w:pPr>
              <w:jc w:val="right"/>
              <w:rPr>
                <w:sz w:val="21"/>
                <w:szCs w:val="21"/>
              </w:rPr>
            </w:pPr>
            <w:r w:rsidRPr="003003C4">
              <w:rPr>
                <w:sz w:val="21"/>
                <w:szCs w:val="21"/>
              </w:rPr>
              <w:t>16.3</w:t>
            </w:r>
          </w:p>
        </w:tc>
      </w:tr>
      <w:tr w:rsidR="003730C2" w:rsidRPr="003003C4" w14:paraId="70A5BBEB" w14:textId="77777777" w:rsidTr="003220CB">
        <w:tc>
          <w:tcPr>
            <w:tcW w:w="708" w:type="pct"/>
            <w:vMerge/>
            <w:tcBorders>
              <w:left w:val="double" w:sz="4" w:space="0" w:color="auto"/>
              <w:bottom w:val="single" w:sz="4" w:space="0" w:color="auto"/>
              <w:right w:val="single" w:sz="4" w:space="0" w:color="auto"/>
            </w:tcBorders>
            <w:tcMar>
              <w:left w:w="58" w:type="dxa"/>
              <w:right w:w="58" w:type="dxa"/>
            </w:tcMar>
            <w:vAlign w:val="center"/>
          </w:tcPr>
          <w:p w14:paraId="2028ED56"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D25B509" w14:textId="77777777" w:rsidR="00E465D0" w:rsidRPr="003003C4" w:rsidRDefault="00E465D0" w:rsidP="003730C2">
            <w:pPr>
              <w:jc w:val="left"/>
              <w:rPr>
                <w:bCs/>
                <w:sz w:val="21"/>
                <w:szCs w:val="21"/>
              </w:rPr>
            </w:pPr>
            <w:r w:rsidRPr="003003C4">
              <w:rPr>
                <w:bCs/>
                <w:sz w:val="21"/>
                <w:szCs w:val="21"/>
              </w:rPr>
              <w:t>55 or older</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0A9F0E56" w14:textId="77777777" w:rsidR="00E465D0" w:rsidRPr="003003C4" w:rsidRDefault="00E465D0" w:rsidP="003220CB">
            <w:pPr>
              <w:jc w:val="right"/>
              <w:rPr>
                <w:sz w:val="21"/>
                <w:szCs w:val="21"/>
              </w:rPr>
            </w:pPr>
            <w:r w:rsidRPr="003003C4">
              <w:rPr>
                <w:color w:val="000000"/>
                <w:sz w:val="21"/>
                <w:szCs w:val="21"/>
              </w:rPr>
              <w:t>16.5</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2F5BA95" w14:textId="77777777" w:rsidR="00E465D0" w:rsidRPr="003003C4" w:rsidRDefault="00E465D0" w:rsidP="003220CB">
            <w:pPr>
              <w:jc w:val="right"/>
              <w:rPr>
                <w:sz w:val="21"/>
                <w:szCs w:val="21"/>
              </w:rPr>
            </w:pPr>
            <w:r w:rsidRPr="003003C4">
              <w:rPr>
                <w:color w:val="000000"/>
                <w:sz w:val="21"/>
                <w:szCs w:val="21"/>
              </w:rPr>
              <w:t>18.2</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803A896" w14:textId="77777777" w:rsidR="00E465D0" w:rsidRPr="003003C4" w:rsidRDefault="00E465D0" w:rsidP="003220CB">
            <w:pPr>
              <w:jc w:val="right"/>
              <w:rPr>
                <w:sz w:val="21"/>
                <w:szCs w:val="21"/>
              </w:rPr>
            </w:pPr>
            <w:r w:rsidRPr="003003C4">
              <w:rPr>
                <w:color w:val="000000"/>
                <w:sz w:val="21"/>
                <w:szCs w:val="21"/>
              </w:rPr>
              <w:t>62.7</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F67871E" w14:textId="77777777" w:rsidR="00E465D0" w:rsidRPr="003003C4" w:rsidRDefault="00E465D0" w:rsidP="003220CB">
            <w:pPr>
              <w:jc w:val="right"/>
              <w:rPr>
                <w:sz w:val="21"/>
                <w:szCs w:val="21"/>
              </w:rPr>
            </w:pPr>
            <w:r w:rsidRPr="003003C4">
              <w:rPr>
                <w:color w:val="000000"/>
                <w:sz w:val="21"/>
                <w:szCs w:val="21"/>
              </w:rPr>
              <w:t>37.3</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01B750DC" w14:textId="77777777" w:rsidR="00E465D0" w:rsidRPr="003003C4" w:rsidRDefault="00E465D0" w:rsidP="003220CB">
            <w:pPr>
              <w:jc w:val="right"/>
              <w:rPr>
                <w:bCs/>
                <w:sz w:val="21"/>
                <w:szCs w:val="21"/>
              </w:rPr>
            </w:pPr>
            <w:r w:rsidRPr="003003C4">
              <w:rPr>
                <w:sz w:val="21"/>
                <w:szCs w:val="21"/>
              </w:rPr>
              <w:t>17.1</w:t>
            </w:r>
          </w:p>
        </w:tc>
      </w:tr>
      <w:tr w:rsidR="003730C2" w:rsidRPr="003003C4" w14:paraId="6E881650" w14:textId="77777777" w:rsidTr="003220CB">
        <w:tc>
          <w:tcPr>
            <w:tcW w:w="708" w:type="pct"/>
            <w:vMerge w:val="restart"/>
            <w:tcBorders>
              <w:top w:val="single" w:sz="4" w:space="0" w:color="auto"/>
              <w:left w:val="double" w:sz="4" w:space="0" w:color="auto"/>
              <w:right w:val="single" w:sz="4" w:space="0" w:color="auto"/>
            </w:tcBorders>
            <w:tcMar>
              <w:left w:w="58" w:type="dxa"/>
              <w:right w:w="58" w:type="dxa"/>
            </w:tcMar>
            <w:vAlign w:val="center"/>
          </w:tcPr>
          <w:p w14:paraId="212728D3" w14:textId="77777777" w:rsidR="00E465D0" w:rsidRPr="003003C4" w:rsidRDefault="00E465D0" w:rsidP="003730C2">
            <w:pPr>
              <w:jc w:val="left"/>
              <w:rPr>
                <w:bCs/>
                <w:sz w:val="21"/>
                <w:szCs w:val="21"/>
              </w:rPr>
            </w:pPr>
            <w:r w:rsidRPr="003003C4">
              <w:rPr>
                <w:bCs/>
                <w:sz w:val="21"/>
                <w:szCs w:val="21"/>
              </w:rPr>
              <w:t>Race</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655FA32" w14:textId="77777777" w:rsidR="00E465D0" w:rsidRPr="003003C4" w:rsidRDefault="00E465D0" w:rsidP="003730C2">
            <w:pPr>
              <w:jc w:val="left"/>
              <w:rPr>
                <w:bCs/>
                <w:sz w:val="21"/>
                <w:szCs w:val="21"/>
              </w:rPr>
            </w:pPr>
            <w:r w:rsidRPr="003003C4">
              <w:rPr>
                <w:bCs/>
                <w:sz w:val="21"/>
                <w:szCs w:val="21"/>
              </w:rPr>
              <w:t>Black</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B6C3E4F" w14:textId="77777777" w:rsidR="00E465D0" w:rsidRPr="003003C4" w:rsidRDefault="00E465D0" w:rsidP="003220CB">
            <w:pPr>
              <w:jc w:val="right"/>
              <w:rPr>
                <w:color w:val="000000"/>
                <w:sz w:val="21"/>
                <w:szCs w:val="21"/>
              </w:rPr>
            </w:pPr>
            <w:r w:rsidRPr="003003C4">
              <w:rPr>
                <w:color w:val="000000"/>
                <w:sz w:val="21"/>
                <w:szCs w:val="21"/>
              </w:rPr>
              <w:t>4.3</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29F3723" w14:textId="77777777" w:rsidR="00E465D0" w:rsidRPr="003003C4" w:rsidRDefault="00E465D0" w:rsidP="003220CB">
            <w:pPr>
              <w:jc w:val="right"/>
              <w:rPr>
                <w:color w:val="000000"/>
                <w:sz w:val="21"/>
                <w:szCs w:val="21"/>
              </w:rPr>
            </w:pPr>
            <w:r w:rsidRPr="003003C4">
              <w:rPr>
                <w:color w:val="000000"/>
                <w:sz w:val="21"/>
                <w:szCs w:val="21"/>
              </w:rPr>
              <w:t>4.1</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11131CC6" w14:textId="77777777" w:rsidR="00E465D0" w:rsidRPr="003003C4" w:rsidRDefault="00E465D0" w:rsidP="003220CB">
            <w:pPr>
              <w:jc w:val="right"/>
              <w:rPr>
                <w:color w:val="000000"/>
                <w:sz w:val="21"/>
                <w:szCs w:val="21"/>
              </w:rPr>
            </w:pPr>
            <w:r w:rsidRPr="003003C4">
              <w:rPr>
                <w:color w:val="000000"/>
                <w:sz w:val="21"/>
                <w:szCs w:val="21"/>
              </w:rPr>
              <w:t>65.3</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543905A" w14:textId="77777777" w:rsidR="00E465D0" w:rsidRPr="003003C4" w:rsidRDefault="00E465D0" w:rsidP="003220CB">
            <w:pPr>
              <w:jc w:val="right"/>
              <w:rPr>
                <w:color w:val="000000"/>
                <w:sz w:val="21"/>
                <w:szCs w:val="21"/>
              </w:rPr>
            </w:pPr>
            <w:r w:rsidRPr="003003C4">
              <w:rPr>
                <w:color w:val="000000"/>
                <w:sz w:val="21"/>
                <w:szCs w:val="21"/>
              </w:rPr>
              <w:t>34.7</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2C059DEB" w14:textId="77777777" w:rsidR="00E465D0" w:rsidRPr="003003C4" w:rsidRDefault="00E465D0" w:rsidP="003220CB">
            <w:pPr>
              <w:jc w:val="right"/>
              <w:rPr>
                <w:bCs/>
                <w:sz w:val="21"/>
                <w:szCs w:val="21"/>
              </w:rPr>
            </w:pPr>
            <w:r w:rsidRPr="003003C4">
              <w:rPr>
                <w:bCs/>
                <w:sz w:val="21"/>
                <w:szCs w:val="21"/>
              </w:rPr>
              <w:t>3.7</w:t>
            </w:r>
          </w:p>
        </w:tc>
      </w:tr>
      <w:tr w:rsidR="003730C2" w:rsidRPr="003003C4" w14:paraId="3A37E61D" w14:textId="77777777" w:rsidTr="003220CB">
        <w:tc>
          <w:tcPr>
            <w:tcW w:w="708" w:type="pct"/>
            <w:vMerge/>
            <w:tcBorders>
              <w:left w:val="double" w:sz="4" w:space="0" w:color="auto"/>
              <w:right w:val="single" w:sz="4" w:space="0" w:color="auto"/>
            </w:tcBorders>
            <w:tcMar>
              <w:left w:w="58" w:type="dxa"/>
              <w:right w:w="58" w:type="dxa"/>
            </w:tcMar>
            <w:vAlign w:val="center"/>
          </w:tcPr>
          <w:p w14:paraId="75CCE203"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0077D1B" w14:textId="77777777" w:rsidR="00E465D0" w:rsidRPr="003003C4" w:rsidRDefault="00E465D0" w:rsidP="003730C2">
            <w:pPr>
              <w:jc w:val="left"/>
              <w:rPr>
                <w:bCs/>
                <w:sz w:val="21"/>
                <w:szCs w:val="21"/>
              </w:rPr>
            </w:pPr>
            <w:r w:rsidRPr="003003C4">
              <w:rPr>
                <w:bCs/>
                <w:sz w:val="21"/>
                <w:szCs w:val="21"/>
              </w:rPr>
              <w:t>Not Black</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4A5763ED" w14:textId="77777777" w:rsidR="00E465D0" w:rsidRPr="003003C4" w:rsidRDefault="00E465D0" w:rsidP="003220CB">
            <w:pPr>
              <w:jc w:val="right"/>
              <w:rPr>
                <w:color w:val="000000"/>
                <w:sz w:val="21"/>
                <w:szCs w:val="21"/>
              </w:rPr>
            </w:pPr>
            <w:r w:rsidRPr="003003C4">
              <w:rPr>
                <w:color w:val="000000"/>
                <w:sz w:val="21"/>
                <w:szCs w:val="21"/>
              </w:rPr>
              <w:t>95.7</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5A16340" w14:textId="77777777" w:rsidR="00E465D0" w:rsidRPr="003003C4" w:rsidRDefault="00E465D0" w:rsidP="003220CB">
            <w:pPr>
              <w:jc w:val="right"/>
              <w:rPr>
                <w:color w:val="000000"/>
                <w:sz w:val="21"/>
                <w:szCs w:val="21"/>
              </w:rPr>
            </w:pPr>
            <w:r w:rsidRPr="003003C4">
              <w:rPr>
                <w:color w:val="000000"/>
                <w:sz w:val="21"/>
                <w:szCs w:val="21"/>
              </w:rPr>
              <w:t>95.9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6B695428" w14:textId="77777777" w:rsidR="00E465D0" w:rsidRPr="003003C4" w:rsidRDefault="00E465D0" w:rsidP="003220CB">
            <w:pPr>
              <w:jc w:val="right"/>
              <w:rPr>
                <w:color w:val="000000"/>
                <w:sz w:val="21"/>
                <w:szCs w:val="21"/>
              </w:rPr>
            </w:pPr>
            <w:r w:rsidRPr="003003C4">
              <w:rPr>
                <w:color w:val="000000"/>
                <w:sz w:val="21"/>
                <w:szCs w:val="21"/>
              </w:rPr>
              <w:t>64.8</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42CE6E6E" w14:textId="77777777" w:rsidR="00E465D0" w:rsidRPr="003003C4" w:rsidRDefault="00E465D0" w:rsidP="003220CB">
            <w:pPr>
              <w:jc w:val="right"/>
              <w:rPr>
                <w:color w:val="000000"/>
                <w:sz w:val="21"/>
                <w:szCs w:val="21"/>
              </w:rPr>
            </w:pPr>
            <w:r w:rsidRPr="003003C4">
              <w:rPr>
                <w:color w:val="000000"/>
                <w:sz w:val="21"/>
                <w:szCs w:val="21"/>
              </w:rPr>
              <w:t>35.2</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046F3B05" w14:textId="77777777" w:rsidR="00E465D0" w:rsidRPr="003003C4" w:rsidRDefault="00E465D0" w:rsidP="003220CB">
            <w:pPr>
              <w:jc w:val="right"/>
              <w:rPr>
                <w:bCs/>
                <w:sz w:val="21"/>
                <w:szCs w:val="21"/>
              </w:rPr>
            </w:pPr>
            <w:r w:rsidRPr="003003C4">
              <w:rPr>
                <w:bCs/>
                <w:sz w:val="21"/>
                <w:szCs w:val="21"/>
              </w:rPr>
              <w:t>96.3</w:t>
            </w:r>
          </w:p>
        </w:tc>
      </w:tr>
      <w:tr w:rsidR="003730C2" w:rsidRPr="003003C4" w14:paraId="3BFA8F2C" w14:textId="77777777" w:rsidTr="003220CB">
        <w:tc>
          <w:tcPr>
            <w:tcW w:w="708" w:type="pct"/>
            <w:vMerge w:val="restart"/>
            <w:tcBorders>
              <w:top w:val="single" w:sz="4" w:space="0" w:color="auto"/>
              <w:left w:val="double" w:sz="4" w:space="0" w:color="auto"/>
              <w:right w:val="single" w:sz="4" w:space="0" w:color="auto"/>
            </w:tcBorders>
            <w:tcMar>
              <w:left w:w="58" w:type="dxa"/>
              <w:right w:w="58" w:type="dxa"/>
            </w:tcMar>
            <w:vAlign w:val="center"/>
          </w:tcPr>
          <w:p w14:paraId="0D83C253" w14:textId="77777777" w:rsidR="00E465D0" w:rsidRPr="003003C4" w:rsidRDefault="00E465D0" w:rsidP="003730C2">
            <w:pPr>
              <w:jc w:val="left"/>
              <w:rPr>
                <w:bCs/>
                <w:sz w:val="21"/>
                <w:szCs w:val="21"/>
              </w:rPr>
            </w:pPr>
            <w:r w:rsidRPr="003003C4">
              <w:rPr>
                <w:bCs/>
                <w:sz w:val="21"/>
                <w:szCs w:val="21"/>
              </w:rPr>
              <w:t>Education level</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2C2B130" w14:textId="77777777" w:rsidR="00E465D0" w:rsidRPr="003003C4" w:rsidRDefault="00E465D0" w:rsidP="003730C2">
            <w:pPr>
              <w:jc w:val="left"/>
              <w:rPr>
                <w:bCs/>
                <w:sz w:val="21"/>
                <w:szCs w:val="21"/>
              </w:rPr>
            </w:pPr>
            <w:r w:rsidRPr="003003C4">
              <w:rPr>
                <w:bCs/>
                <w:color w:val="000000"/>
                <w:sz w:val="21"/>
                <w:szCs w:val="21"/>
              </w:rPr>
              <w:t>Less than a graduate degree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2143968" w14:textId="77777777" w:rsidR="00E465D0" w:rsidRPr="003003C4" w:rsidRDefault="00E465D0" w:rsidP="003220CB">
            <w:pPr>
              <w:jc w:val="right"/>
              <w:rPr>
                <w:sz w:val="21"/>
                <w:szCs w:val="21"/>
              </w:rPr>
            </w:pPr>
            <w:r w:rsidRPr="003003C4">
              <w:rPr>
                <w:color w:val="000000"/>
                <w:sz w:val="21"/>
                <w:szCs w:val="21"/>
              </w:rPr>
              <w:t>70.9</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CEB22BF" w14:textId="77777777" w:rsidR="00E465D0" w:rsidRPr="003003C4" w:rsidRDefault="00E465D0" w:rsidP="003220CB">
            <w:pPr>
              <w:jc w:val="right"/>
              <w:rPr>
                <w:sz w:val="21"/>
                <w:szCs w:val="21"/>
              </w:rPr>
            </w:pPr>
            <w:r w:rsidRPr="003003C4">
              <w:rPr>
                <w:color w:val="000000"/>
                <w:sz w:val="21"/>
                <w:szCs w:val="21"/>
              </w:rPr>
              <w:t>70.9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13A0DCAB" w14:textId="77777777" w:rsidR="00E465D0" w:rsidRPr="003003C4" w:rsidRDefault="00E465D0" w:rsidP="003220CB">
            <w:pPr>
              <w:jc w:val="right"/>
              <w:rPr>
                <w:sz w:val="21"/>
                <w:szCs w:val="21"/>
              </w:rPr>
            </w:pPr>
            <w:r w:rsidRPr="003003C4">
              <w:rPr>
                <w:color w:val="000000"/>
                <w:sz w:val="21"/>
                <w:szCs w:val="21"/>
              </w:rPr>
              <w:t>64.9</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D3E5986" w14:textId="77777777" w:rsidR="00E465D0" w:rsidRPr="003003C4" w:rsidRDefault="00E465D0" w:rsidP="003220CB">
            <w:pPr>
              <w:jc w:val="right"/>
              <w:rPr>
                <w:sz w:val="21"/>
                <w:szCs w:val="21"/>
              </w:rPr>
            </w:pPr>
            <w:r w:rsidRPr="003003C4">
              <w:rPr>
                <w:color w:val="000000"/>
                <w:sz w:val="21"/>
                <w:szCs w:val="21"/>
              </w:rPr>
              <w:t>35.1</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7BFD3581" w14:textId="77777777" w:rsidR="00E465D0" w:rsidRPr="003003C4" w:rsidRDefault="00E465D0" w:rsidP="003220CB">
            <w:pPr>
              <w:jc w:val="right"/>
              <w:rPr>
                <w:bCs/>
                <w:sz w:val="21"/>
                <w:szCs w:val="21"/>
              </w:rPr>
            </w:pPr>
            <w:r w:rsidRPr="003003C4">
              <w:rPr>
                <w:bCs/>
                <w:sz w:val="21"/>
                <w:szCs w:val="21"/>
              </w:rPr>
              <w:t>71.0</w:t>
            </w:r>
          </w:p>
        </w:tc>
      </w:tr>
      <w:tr w:rsidR="003730C2" w:rsidRPr="003003C4" w14:paraId="18489113" w14:textId="77777777" w:rsidTr="003220CB">
        <w:tc>
          <w:tcPr>
            <w:tcW w:w="708" w:type="pct"/>
            <w:vMerge/>
            <w:tcBorders>
              <w:left w:val="double" w:sz="4" w:space="0" w:color="auto"/>
              <w:bottom w:val="single" w:sz="4" w:space="0" w:color="auto"/>
              <w:right w:val="single" w:sz="4" w:space="0" w:color="auto"/>
            </w:tcBorders>
            <w:tcMar>
              <w:left w:w="58" w:type="dxa"/>
              <w:right w:w="58" w:type="dxa"/>
            </w:tcMar>
            <w:vAlign w:val="center"/>
          </w:tcPr>
          <w:p w14:paraId="165367D3"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8C2BF27" w14:textId="77777777" w:rsidR="00E465D0" w:rsidRPr="003003C4" w:rsidRDefault="00E465D0" w:rsidP="003730C2">
            <w:pPr>
              <w:jc w:val="left"/>
              <w:rPr>
                <w:bCs/>
                <w:sz w:val="21"/>
                <w:szCs w:val="21"/>
              </w:rPr>
            </w:pPr>
            <w:r w:rsidRPr="003003C4">
              <w:rPr>
                <w:bCs/>
                <w:color w:val="000000"/>
                <w:sz w:val="21"/>
                <w:szCs w:val="21"/>
              </w:rPr>
              <w:t>Graduate degree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022C092C" w14:textId="77777777" w:rsidR="00E465D0" w:rsidRPr="003003C4" w:rsidRDefault="00E465D0" w:rsidP="003220CB">
            <w:pPr>
              <w:jc w:val="right"/>
              <w:rPr>
                <w:sz w:val="21"/>
                <w:szCs w:val="21"/>
              </w:rPr>
            </w:pPr>
            <w:r w:rsidRPr="003003C4">
              <w:rPr>
                <w:color w:val="000000"/>
                <w:sz w:val="21"/>
                <w:szCs w:val="21"/>
              </w:rPr>
              <w:t>29.1</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E6893D4" w14:textId="77777777" w:rsidR="00E465D0" w:rsidRPr="003003C4" w:rsidRDefault="00E465D0" w:rsidP="003220CB">
            <w:pPr>
              <w:jc w:val="right"/>
              <w:rPr>
                <w:sz w:val="21"/>
                <w:szCs w:val="21"/>
              </w:rPr>
            </w:pPr>
            <w:r w:rsidRPr="003003C4">
              <w:rPr>
                <w:color w:val="000000"/>
                <w:sz w:val="21"/>
                <w:szCs w:val="21"/>
              </w:rPr>
              <w:t>29.1</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CFC2AB9" w14:textId="77777777" w:rsidR="00E465D0" w:rsidRPr="003003C4" w:rsidRDefault="00E465D0" w:rsidP="003220CB">
            <w:pPr>
              <w:jc w:val="right"/>
              <w:rPr>
                <w:sz w:val="21"/>
                <w:szCs w:val="21"/>
              </w:rPr>
            </w:pPr>
            <w:r w:rsidRPr="003003C4">
              <w:rPr>
                <w:color w:val="000000"/>
                <w:sz w:val="21"/>
                <w:szCs w:val="21"/>
              </w:rPr>
              <w:t>64.8</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0FFCB9B" w14:textId="77777777" w:rsidR="00E465D0" w:rsidRPr="003003C4" w:rsidRDefault="00E465D0" w:rsidP="003220CB">
            <w:pPr>
              <w:jc w:val="right"/>
              <w:rPr>
                <w:sz w:val="21"/>
                <w:szCs w:val="21"/>
              </w:rPr>
            </w:pPr>
            <w:r w:rsidRPr="003003C4">
              <w:rPr>
                <w:color w:val="000000"/>
                <w:sz w:val="21"/>
                <w:szCs w:val="21"/>
              </w:rPr>
              <w:t>35.2</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6032CF53" w14:textId="77777777" w:rsidR="00E465D0" w:rsidRPr="003003C4" w:rsidRDefault="00E465D0" w:rsidP="003220CB">
            <w:pPr>
              <w:jc w:val="right"/>
              <w:rPr>
                <w:bCs/>
                <w:sz w:val="21"/>
                <w:szCs w:val="21"/>
              </w:rPr>
            </w:pPr>
            <w:r w:rsidRPr="003003C4">
              <w:rPr>
                <w:bCs/>
                <w:sz w:val="21"/>
                <w:szCs w:val="21"/>
              </w:rPr>
              <w:t>29.0</w:t>
            </w:r>
          </w:p>
        </w:tc>
      </w:tr>
      <w:tr w:rsidR="003730C2" w:rsidRPr="003003C4" w14:paraId="713315C3" w14:textId="77777777" w:rsidTr="003220CB">
        <w:tc>
          <w:tcPr>
            <w:tcW w:w="708" w:type="pct"/>
            <w:vMerge w:val="restart"/>
            <w:tcBorders>
              <w:top w:val="single" w:sz="4" w:space="0" w:color="auto"/>
              <w:left w:val="double" w:sz="4" w:space="0" w:color="auto"/>
              <w:right w:val="single" w:sz="4" w:space="0" w:color="auto"/>
            </w:tcBorders>
            <w:tcMar>
              <w:left w:w="58" w:type="dxa"/>
              <w:right w:w="58" w:type="dxa"/>
            </w:tcMar>
            <w:vAlign w:val="center"/>
            <w:hideMark/>
          </w:tcPr>
          <w:p w14:paraId="32F24B49" w14:textId="77777777" w:rsidR="00E465D0" w:rsidRPr="003003C4" w:rsidRDefault="00E465D0" w:rsidP="003730C2">
            <w:pPr>
              <w:jc w:val="left"/>
              <w:rPr>
                <w:bCs/>
                <w:sz w:val="21"/>
                <w:szCs w:val="21"/>
              </w:rPr>
            </w:pPr>
            <w:r w:rsidRPr="003003C4">
              <w:rPr>
                <w:bCs/>
                <w:sz w:val="21"/>
                <w:szCs w:val="21"/>
              </w:rPr>
              <w:t>Household income</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hideMark/>
          </w:tcPr>
          <w:p w14:paraId="143F1101" w14:textId="77777777" w:rsidR="00E465D0" w:rsidRPr="003003C4" w:rsidRDefault="00E465D0" w:rsidP="003730C2">
            <w:pPr>
              <w:jc w:val="left"/>
              <w:rPr>
                <w:bCs/>
                <w:sz w:val="21"/>
                <w:szCs w:val="21"/>
              </w:rPr>
            </w:pPr>
            <w:r w:rsidRPr="003003C4">
              <w:rPr>
                <w:bCs/>
                <w:sz w:val="21"/>
                <w:szCs w:val="21"/>
              </w:rPr>
              <w:t>Up to $50,000</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27C12E7" w14:textId="77777777" w:rsidR="00E465D0" w:rsidRPr="003003C4" w:rsidRDefault="00E465D0" w:rsidP="003220CB">
            <w:pPr>
              <w:jc w:val="right"/>
              <w:rPr>
                <w:sz w:val="21"/>
                <w:szCs w:val="21"/>
              </w:rPr>
            </w:pPr>
            <w:r w:rsidRPr="003003C4">
              <w:rPr>
                <w:color w:val="000000"/>
                <w:sz w:val="21"/>
                <w:szCs w:val="21"/>
              </w:rPr>
              <w:t>21.1</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CEE02F4" w14:textId="77777777" w:rsidR="00E465D0" w:rsidRPr="003003C4" w:rsidRDefault="00E465D0" w:rsidP="003220CB">
            <w:pPr>
              <w:jc w:val="right"/>
              <w:rPr>
                <w:sz w:val="21"/>
                <w:szCs w:val="21"/>
              </w:rPr>
            </w:pPr>
            <w:r w:rsidRPr="003003C4">
              <w:rPr>
                <w:color w:val="000000"/>
                <w:sz w:val="21"/>
                <w:szCs w:val="21"/>
              </w:rPr>
              <w:t>20.6</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51F43F14" w14:textId="77777777" w:rsidR="00E465D0" w:rsidRPr="003003C4" w:rsidRDefault="00E465D0" w:rsidP="003220CB">
            <w:pPr>
              <w:jc w:val="right"/>
              <w:rPr>
                <w:sz w:val="21"/>
                <w:szCs w:val="21"/>
              </w:rPr>
            </w:pPr>
            <w:r w:rsidRPr="003003C4">
              <w:rPr>
                <w:color w:val="000000"/>
                <w:sz w:val="21"/>
                <w:szCs w:val="21"/>
              </w:rPr>
              <w:t>65.3</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224C699" w14:textId="77777777" w:rsidR="00E465D0" w:rsidRPr="003003C4" w:rsidRDefault="00E465D0" w:rsidP="003220CB">
            <w:pPr>
              <w:jc w:val="right"/>
              <w:rPr>
                <w:sz w:val="21"/>
                <w:szCs w:val="21"/>
              </w:rPr>
            </w:pPr>
            <w:r w:rsidRPr="003003C4">
              <w:rPr>
                <w:color w:val="000000"/>
                <w:sz w:val="21"/>
                <w:szCs w:val="21"/>
              </w:rPr>
              <w:t>34.7</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77E3975F" w14:textId="77777777" w:rsidR="00E465D0" w:rsidRPr="003003C4" w:rsidRDefault="00E465D0" w:rsidP="003220CB">
            <w:pPr>
              <w:jc w:val="right"/>
              <w:rPr>
                <w:sz w:val="21"/>
                <w:szCs w:val="21"/>
              </w:rPr>
            </w:pPr>
            <w:r w:rsidRPr="003003C4">
              <w:rPr>
                <w:sz w:val="21"/>
                <w:szCs w:val="21"/>
              </w:rPr>
              <w:t>21.0</w:t>
            </w:r>
          </w:p>
        </w:tc>
      </w:tr>
      <w:tr w:rsidR="003730C2" w:rsidRPr="003003C4" w14:paraId="72A20F06" w14:textId="77777777" w:rsidTr="003220CB">
        <w:tc>
          <w:tcPr>
            <w:tcW w:w="708" w:type="pct"/>
            <w:vMerge/>
            <w:tcBorders>
              <w:top w:val="single" w:sz="4" w:space="0" w:color="auto"/>
              <w:left w:val="double" w:sz="4" w:space="0" w:color="auto"/>
              <w:right w:val="single" w:sz="4" w:space="0" w:color="auto"/>
            </w:tcBorders>
            <w:tcMar>
              <w:left w:w="58" w:type="dxa"/>
              <w:right w:w="58" w:type="dxa"/>
            </w:tcMar>
            <w:vAlign w:val="center"/>
          </w:tcPr>
          <w:p w14:paraId="4FD6DC97"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0D9655A" w14:textId="77777777" w:rsidR="00E465D0" w:rsidRPr="003003C4" w:rsidRDefault="00E465D0" w:rsidP="003730C2">
            <w:pPr>
              <w:jc w:val="left"/>
              <w:rPr>
                <w:bCs/>
                <w:sz w:val="21"/>
                <w:szCs w:val="21"/>
              </w:rPr>
            </w:pPr>
            <w:r w:rsidRPr="003003C4">
              <w:rPr>
                <w:bCs/>
                <w:sz w:val="21"/>
                <w:szCs w:val="21"/>
              </w:rPr>
              <w:t>$50,000 to $74,999</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2F11CEAA" w14:textId="77777777" w:rsidR="00E465D0" w:rsidRPr="003003C4" w:rsidRDefault="00E465D0" w:rsidP="003220CB">
            <w:pPr>
              <w:jc w:val="right"/>
              <w:rPr>
                <w:sz w:val="21"/>
                <w:szCs w:val="21"/>
              </w:rPr>
            </w:pPr>
            <w:r w:rsidRPr="003003C4">
              <w:rPr>
                <w:color w:val="000000"/>
                <w:sz w:val="21"/>
                <w:szCs w:val="21"/>
              </w:rPr>
              <w:t>19.7</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932269A" w14:textId="77777777" w:rsidR="00E465D0" w:rsidRPr="003003C4" w:rsidRDefault="00E465D0" w:rsidP="003220CB">
            <w:pPr>
              <w:jc w:val="right"/>
              <w:rPr>
                <w:sz w:val="21"/>
                <w:szCs w:val="21"/>
              </w:rPr>
            </w:pPr>
            <w:r w:rsidRPr="003003C4">
              <w:rPr>
                <w:color w:val="000000"/>
                <w:sz w:val="21"/>
                <w:szCs w:val="21"/>
              </w:rPr>
              <w:t>20.1</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3FFB4ED" w14:textId="77777777" w:rsidR="00E465D0" w:rsidRPr="003003C4" w:rsidRDefault="00E465D0" w:rsidP="003220CB">
            <w:pPr>
              <w:jc w:val="right"/>
              <w:rPr>
                <w:sz w:val="21"/>
                <w:szCs w:val="21"/>
              </w:rPr>
            </w:pPr>
            <w:r w:rsidRPr="003003C4">
              <w:rPr>
                <w:color w:val="000000"/>
                <w:sz w:val="21"/>
                <w:szCs w:val="21"/>
              </w:rPr>
              <w:t>64.3</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3CCDB7D" w14:textId="77777777" w:rsidR="00E465D0" w:rsidRPr="003003C4" w:rsidRDefault="00E465D0" w:rsidP="003220CB">
            <w:pPr>
              <w:jc w:val="right"/>
              <w:rPr>
                <w:sz w:val="21"/>
                <w:szCs w:val="21"/>
              </w:rPr>
            </w:pPr>
            <w:r w:rsidRPr="003003C4">
              <w:rPr>
                <w:color w:val="000000"/>
                <w:sz w:val="21"/>
                <w:szCs w:val="21"/>
              </w:rPr>
              <w:t>35.7</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550D19C2" w14:textId="77777777" w:rsidR="00E465D0" w:rsidRPr="003003C4" w:rsidRDefault="00E465D0" w:rsidP="003220CB">
            <w:pPr>
              <w:jc w:val="right"/>
              <w:rPr>
                <w:sz w:val="21"/>
                <w:szCs w:val="21"/>
              </w:rPr>
            </w:pPr>
            <w:r w:rsidRPr="003003C4">
              <w:rPr>
                <w:sz w:val="21"/>
                <w:szCs w:val="21"/>
              </w:rPr>
              <w:t>19.8</w:t>
            </w:r>
          </w:p>
        </w:tc>
      </w:tr>
      <w:tr w:rsidR="003730C2" w:rsidRPr="003003C4" w14:paraId="3D3CC94E" w14:textId="77777777" w:rsidTr="003220CB">
        <w:tc>
          <w:tcPr>
            <w:tcW w:w="708" w:type="pct"/>
            <w:vMerge/>
            <w:tcBorders>
              <w:left w:val="double" w:sz="4" w:space="0" w:color="auto"/>
              <w:right w:val="single" w:sz="4" w:space="0" w:color="auto"/>
            </w:tcBorders>
            <w:tcMar>
              <w:left w:w="58" w:type="dxa"/>
              <w:right w:w="58" w:type="dxa"/>
            </w:tcMar>
            <w:vAlign w:val="center"/>
            <w:hideMark/>
          </w:tcPr>
          <w:p w14:paraId="4E275A6E"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hideMark/>
          </w:tcPr>
          <w:p w14:paraId="56C51489" w14:textId="77777777" w:rsidR="00E465D0" w:rsidRPr="003003C4" w:rsidRDefault="00E465D0" w:rsidP="003730C2">
            <w:pPr>
              <w:jc w:val="left"/>
              <w:rPr>
                <w:bCs/>
                <w:sz w:val="21"/>
                <w:szCs w:val="21"/>
              </w:rPr>
            </w:pPr>
            <w:r w:rsidRPr="003003C4">
              <w:rPr>
                <w:bCs/>
                <w:sz w:val="21"/>
                <w:szCs w:val="21"/>
              </w:rPr>
              <w:t>$75,000 to $99,999</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61B1BF28" w14:textId="77777777" w:rsidR="00E465D0" w:rsidRPr="003003C4" w:rsidRDefault="00E465D0" w:rsidP="003220CB">
            <w:pPr>
              <w:jc w:val="right"/>
              <w:rPr>
                <w:sz w:val="21"/>
                <w:szCs w:val="21"/>
              </w:rPr>
            </w:pPr>
            <w:r w:rsidRPr="003003C4">
              <w:rPr>
                <w:color w:val="000000"/>
                <w:sz w:val="21"/>
                <w:szCs w:val="21"/>
              </w:rPr>
              <w:t>16.5</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7AFF573E" w14:textId="77777777" w:rsidR="00E465D0" w:rsidRPr="003003C4" w:rsidRDefault="00E465D0" w:rsidP="003220CB">
            <w:pPr>
              <w:jc w:val="right"/>
              <w:rPr>
                <w:sz w:val="21"/>
                <w:szCs w:val="21"/>
              </w:rPr>
            </w:pPr>
            <w:r w:rsidRPr="003003C4">
              <w:rPr>
                <w:color w:val="000000"/>
                <w:sz w:val="21"/>
                <w:szCs w:val="21"/>
              </w:rPr>
              <w:t>16.9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0C2CD13" w14:textId="77777777" w:rsidR="00E465D0" w:rsidRPr="003003C4" w:rsidRDefault="00E465D0" w:rsidP="003220CB">
            <w:pPr>
              <w:jc w:val="right"/>
              <w:rPr>
                <w:sz w:val="21"/>
                <w:szCs w:val="21"/>
              </w:rPr>
            </w:pPr>
            <w:r w:rsidRPr="003003C4">
              <w:rPr>
                <w:color w:val="000000"/>
                <w:sz w:val="21"/>
                <w:szCs w:val="21"/>
              </w:rPr>
              <w:t>64.4</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C422CF1" w14:textId="77777777" w:rsidR="00E465D0" w:rsidRPr="003003C4" w:rsidRDefault="00E465D0" w:rsidP="003220CB">
            <w:pPr>
              <w:jc w:val="right"/>
              <w:rPr>
                <w:sz w:val="21"/>
                <w:szCs w:val="21"/>
              </w:rPr>
            </w:pPr>
            <w:r w:rsidRPr="003003C4">
              <w:rPr>
                <w:color w:val="000000"/>
                <w:sz w:val="21"/>
                <w:szCs w:val="21"/>
              </w:rPr>
              <w:t>35.6</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51C2E7A0" w14:textId="77777777" w:rsidR="00E465D0" w:rsidRPr="003003C4" w:rsidRDefault="00E465D0" w:rsidP="003220CB">
            <w:pPr>
              <w:jc w:val="right"/>
              <w:rPr>
                <w:sz w:val="21"/>
                <w:szCs w:val="21"/>
              </w:rPr>
            </w:pPr>
            <w:r w:rsidRPr="003003C4">
              <w:rPr>
                <w:sz w:val="21"/>
                <w:szCs w:val="21"/>
              </w:rPr>
              <w:t>16.6</w:t>
            </w:r>
          </w:p>
        </w:tc>
      </w:tr>
      <w:tr w:rsidR="003730C2" w:rsidRPr="003003C4" w14:paraId="15D6541E" w14:textId="77777777" w:rsidTr="003220CB">
        <w:tc>
          <w:tcPr>
            <w:tcW w:w="708" w:type="pct"/>
            <w:vMerge/>
            <w:tcBorders>
              <w:left w:val="double" w:sz="4" w:space="0" w:color="auto"/>
              <w:right w:val="single" w:sz="4" w:space="0" w:color="auto"/>
            </w:tcBorders>
            <w:tcMar>
              <w:left w:w="58" w:type="dxa"/>
              <w:right w:w="58" w:type="dxa"/>
            </w:tcMar>
            <w:vAlign w:val="center"/>
          </w:tcPr>
          <w:p w14:paraId="6003898E"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2C0ECB9" w14:textId="77777777" w:rsidR="00E465D0" w:rsidRPr="003003C4" w:rsidRDefault="00E465D0" w:rsidP="003730C2">
            <w:pPr>
              <w:jc w:val="left"/>
              <w:rPr>
                <w:bCs/>
                <w:sz w:val="21"/>
                <w:szCs w:val="21"/>
              </w:rPr>
            </w:pPr>
            <w:r w:rsidRPr="003003C4">
              <w:rPr>
                <w:bCs/>
                <w:sz w:val="21"/>
                <w:szCs w:val="21"/>
              </w:rPr>
              <w:t>$100,000 to $199,999</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E462A68" w14:textId="77777777" w:rsidR="00E465D0" w:rsidRPr="003003C4" w:rsidRDefault="00E465D0" w:rsidP="003220CB">
            <w:pPr>
              <w:jc w:val="right"/>
              <w:rPr>
                <w:sz w:val="21"/>
                <w:szCs w:val="21"/>
              </w:rPr>
            </w:pPr>
            <w:r w:rsidRPr="003003C4">
              <w:rPr>
                <w:color w:val="000000"/>
                <w:sz w:val="21"/>
                <w:szCs w:val="21"/>
              </w:rPr>
              <w:t>36.0</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4D5B047" w14:textId="77777777" w:rsidR="00E465D0" w:rsidRPr="003003C4" w:rsidRDefault="00E465D0" w:rsidP="003220CB">
            <w:pPr>
              <w:jc w:val="right"/>
              <w:rPr>
                <w:sz w:val="21"/>
                <w:szCs w:val="21"/>
              </w:rPr>
            </w:pPr>
            <w:r w:rsidRPr="003003C4">
              <w:rPr>
                <w:color w:val="000000"/>
                <w:sz w:val="21"/>
                <w:szCs w:val="21"/>
              </w:rPr>
              <w:t>35.9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4D84BC4" w14:textId="77777777" w:rsidR="00E465D0" w:rsidRPr="003003C4" w:rsidRDefault="00E465D0" w:rsidP="003220CB">
            <w:pPr>
              <w:jc w:val="right"/>
              <w:rPr>
                <w:sz w:val="21"/>
                <w:szCs w:val="21"/>
              </w:rPr>
            </w:pPr>
            <w:r w:rsidRPr="003003C4">
              <w:rPr>
                <w:color w:val="000000"/>
                <w:sz w:val="21"/>
                <w:szCs w:val="21"/>
              </w:rPr>
              <w:t>65.0</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8DF6BFA" w14:textId="77777777" w:rsidR="00E465D0" w:rsidRPr="003003C4" w:rsidRDefault="00E465D0" w:rsidP="003220CB">
            <w:pPr>
              <w:jc w:val="right"/>
              <w:rPr>
                <w:sz w:val="21"/>
                <w:szCs w:val="21"/>
              </w:rPr>
            </w:pPr>
            <w:r w:rsidRPr="003003C4">
              <w:rPr>
                <w:color w:val="000000"/>
                <w:sz w:val="21"/>
                <w:szCs w:val="21"/>
              </w:rPr>
              <w:t>35.0</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5E3E447D" w14:textId="77777777" w:rsidR="00E465D0" w:rsidRPr="003003C4" w:rsidRDefault="00E465D0" w:rsidP="003220CB">
            <w:pPr>
              <w:jc w:val="right"/>
              <w:rPr>
                <w:sz w:val="21"/>
                <w:szCs w:val="21"/>
              </w:rPr>
            </w:pPr>
            <w:r w:rsidRPr="003003C4">
              <w:rPr>
                <w:sz w:val="21"/>
                <w:szCs w:val="21"/>
              </w:rPr>
              <w:t>36.0</w:t>
            </w:r>
          </w:p>
        </w:tc>
      </w:tr>
      <w:tr w:rsidR="003730C2" w:rsidRPr="003003C4" w14:paraId="7B80BE19" w14:textId="77777777" w:rsidTr="003220CB">
        <w:tc>
          <w:tcPr>
            <w:tcW w:w="708" w:type="pct"/>
            <w:vMerge/>
            <w:tcBorders>
              <w:left w:val="double" w:sz="4" w:space="0" w:color="auto"/>
              <w:bottom w:val="single" w:sz="4" w:space="0" w:color="auto"/>
              <w:right w:val="single" w:sz="4" w:space="0" w:color="auto"/>
            </w:tcBorders>
            <w:tcMar>
              <w:left w:w="58" w:type="dxa"/>
              <w:right w:w="58" w:type="dxa"/>
            </w:tcMar>
            <w:vAlign w:val="center"/>
          </w:tcPr>
          <w:p w14:paraId="5A65BB2B"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BCA4A46" w14:textId="77777777" w:rsidR="00E465D0" w:rsidRPr="003003C4" w:rsidRDefault="00E465D0" w:rsidP="003730C2">
            <w:pPr>
              <w:jc w:val="left"/>
              <w:rPr>
                <w:bCs/>
                <w:sz w:val="21"/>
                <w:szCs w:val="21"/>
              </w:rPr>
            </w:pPr>
            <w:r w:rsidRPr="003003C4">
              <w:rPr>
                <w:bCs/>
                <w:sz w:val="21"/>
                <w:szCs w:val="21"/>
              </w:rPr>
              <w:t>$200,000 or more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6A901740" w14:textId="77777777" w:rsidR="00E465D0" w:rsidRPr="003003C4" w:rsidRDefault="00E465D0" w:rsidP="003220CB">
            <w:pPr>
              <w:jc w:val="right"/>
              <w:rPr>
                <w:sz w:val="21"/>
                <w:szCs w:val="21"/>
              </w:rPr>
            </w:pPr>
            <w:r w:rsidRPr="003003C4">
              <w:rPr>
                <w:color w:val="000000"/>
                <w:sz w:val="21"/>
                <w:szCs w:val="21"/>
              </w:rPr>
              <w:t>6.7</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4D8D874" w14:textId="77777777" w:rsidR="00E465D0" w:rsidRPr="003003C4" w:rsidRDefault="00E465D0" w:rsidP="003220CB">
            <w:pPr>
              <w:jc w:val="right"/>
              <w:rPr>
                <w:sz w:val="21"/>
                <w:szCs w:val="21"/>
              </w:rPr>
            </w:pPr>
            <w:r w:rsidRPr="003003C4">
              <w:rPr>
                <w:color w:val="000000"/>
                <w:sz w:val="21"/>
                <w:szCs w:val="21"/>
              </w:rPr>
              <w:t>6.5</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7DF4AAAF" w14:textId="77777777" w:rsidR="00E465D0" w:rsidRPr="003003C4" w:rsidRDefault="00E465D0" w:rsidP="003220CB">
            <w:pPr>
              <w:jc w:val="right"/>
              <w:rPr>
                <w:sz w:val="21"/>
                <w:szCs w:val="21"/>
              </w:rPr>
            </w:pPr>
            <w:r w:rsidRPr="003003C4">
              <w:rPr>
                <w:color w:val="000000"/>
                <w:sz w:val="21"/>
                <w:szCs w:val="21"/>
              </w:rPr>
              <w:t>65.5</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2E4505E5" w14:textId="77777777" w:rsidR="00E465D0" w:rsidRPr="003003C4" w:rsidRDefault="00E465D0" w:rsidP="003220CB">
            <w:pPr>
              <w:jc w:val="right"/>
              <w:rPr>
                <w:sz w:val="21"/>
                <w:szCs w:val="21"/>
              </w:rPr>
            </w:pPr>
            <w:r w:rsidRPr="003003C4">
              <w:rPr>
                <w:color w:val="000000"/>
                <w:sz w:val="21"/>
                <w:szCs w:val="21"/>
              </w:rPr>
              <w:t>34.5</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28FFE1A8" w14:textId="77777777" w:rsidR="00E465D0" w:rsidRPr="003003C4" w:rsidRDefault="00E465D0" w:rsidP="003220CB">
            <w:pPr>
              <w:jc w:val="right"/>
              <w:rPr>
                <w:sz w:val="21"/>
                <w:szCs w:val="21"/>
              </w:rPr>
            </w:pPr>
            <w:r w:rsidRPr="003003C4">
              <w:rPr>
                <w:sz w:val="21"/>
                <w:szCs w:val="21"/>
              </w:rPr>
              <w:t>6.6</w:t>
            </w:r>
          </w:p>
        </w:tc>
      </w:tr>
      <w:tr w:rsidR="003730C2" w:rsidRPr="003003C4" w14:paraId="7FF4BD63" w14:textId="77777777" w:rsidTr="003220CB">
        <w:tc>
          <w:tcPr>
            <w:tcW w:w="708" w:type="pct"/>
            <w:vMerge w:val="restart"/>
            <w:tcBorders>
              <w:left w:val="double" w:sz="4" w:space="0" w:color="auto"/>
              <w:right w:val="single" w:sz="4" w:space="0" w:color="auto"/>
            </w:tcBorders>
            <w:tcMar>
              <w:left w:w="58" w:type="dxa"/>
              <w:right w:w="58" w:type="dxa"/>
            </w:tcMar>
            <w:vAlign w:val="center"/>
          </w:tcPr>
          <w:p w14:paraId="1509BDA5" w14:textId="77777777" w:rsidR="00E465D0" w:rsidRPr="003003C4" w:rsidRDefault="00E465D0" w:rsidP="003730C2">
            <w:pPr>
              <w:jc w:val="left"/>
              <w:rPr>
                <w:bCs/>
                <w:sz w:val="21"/>
                <w:szCs w:val="21"/>
              </w:rPr>
            </w:pPr>
            <w:r w:rsidRPr="003003C4">
              <w:rPr>
                <w:bCs/>
                <w:sz w:val="21"/>
                <w:szCs w:val="21"/>
              </w:rPr>
              <w:t>Number of vehicles</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1BD2075" w14:textId="77777777" w:rsidR="00E465D0" w:rsidRPr="003003C4" w:rsidRDefault="00E465D0" w:rsidP="003730C2">
            <w:pPr>
              <w:jc w:val="left"/>
              <w:rPr>
                <w:bCs/>
                <w:sz w:val="21"/>
                <w:szCs w:val="21"/>
              </w:rPr>
            </w:pPr>
            <w:r w:rsidRPr="003003C4">
              <w:rPr>
                <w:bCs/>
                <w:sz w:val="21"/>
                <w:szCs w:val="21"/>
              </w:rPr>
              <w:t>Zero</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F930737" w14:textId="77777777" w:rsidR="00E465D0" w:rsidRPr="003003C4" w:rsidRDefault="00E465D0" w:rsidP="003220CB">
            <w:pPr>
              <w:jc w:val="right"/>
              <w:rPr>
                <w:sz w:val="21"/>
                <w:szCs w:val="21"/>
              </w:rPr>
            </w:pPr>
            <w:r w:rsidRPr="003003C4">
              <w:rPr>
                <w:color w:val="000000"/>
                <w:sz w:val="21"/>
                <w:szCs w:val="21"/>
              </w:rPr>
              <w:t>6.5</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688933D" w14:textId="77777777" w:rsidR="00E465D0" w:rsidRPr="003003C4" w:rsidRDefault="00E465D0" w:rsidP="003220CB">
            <w:pPr>
              <w:jc w:val="right"/>
              <w:rPr>
                <w:sz w:val="21"/>
                <w:szCs w:val="21"/>
              </w:rPr>
            </w:pPr>
            <w:r w:rsidRPr="003003C4">
              <w:rPr>
                <w:color w:val="000000"/>
                <w:sz w:val="21"/>
                <w:szCs w:val="21"/>
              </w:rPr>
              <w:t>3.4</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40853EDC" w14:textId="77777777" w:rsidR="00E465D0" w:rsidRPr="003003C4" w:rsidRDefault="00E465D0" w:rsidP="003220CB">
            <w:pPr>
              <w:jc w:val="right"/>
              <w:rPr>
                <w:sz w:val="21"/>
                <w:szCs w:val="21"/>
              </w:rPr>
            </w:pPr>
            <w:r w:rsidRPr="003003C4">
              <w:rPr>
                <w:color w:val="000000"/>
                <w:sz w:val="21"/>
                <w:szCs w:val="21"/>
              </w:rPr>
              <w:t>77.6</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2C9647F" w14:textId="77777777" w:rsidR="00E465D0" w:rsidRPr="003003C4" w:rsidRDefault="00E465D0" w:rsidP="003220CB">
            <w:pPr>
              <w:jc w:val="right"/>
              <w:rPr>
                <w:sz w:val="21"/>
                <w:szCs w:val="21"/>
              </w:rPr>
            </w:pPr>
            <w:r w:rsidRPr="003003C4">
              <w:rPr>
                <w:color w:val="000000"/>
                <w:sz w:val="21"/>
                <w:szCs w:val="21"/>
              </w:rPr>
              <w:t>22.4</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13214F88" w14:textId="77777777" w:rsidR="00E465D0" w:rsidRPr="003003C4" w:rsidRDefault="00E465D0" w:rsidP="003220CB">
            <w:pPr>
              <w:jc w:val="right"/>
              <w:rPr>
                <w:sz w:val="21"/>
                <w:szCs w:val="21"/>
              </w:rPr>
            </w:pPr>
            <w:r w:rsidRPr="003003C4">
              <w:rPr>
                <w:sz w:val="21"/>
                <w:szCs w:val="21"/>
              </w:rPr>
              <w:t>5.4</w:t>
            </w:r>
          </w:p>
        </w:tc>
      </w:tr>
      <w:tr w:rsidR="003730C2" w:rsidRPr="003003C4" w14:paraId="253DAAF8" w14:textId="77777777" w:rsidTr="003220CB">
        <w:tc>
          <w:tcPr>
            <w:tcW w:w="708" w:type="pct"/>
            <w:vMerge/>
            <w:tcBorders>
              <w:left w:val="double" w:sz="4" w:space="0" w:color="auto"/>
              <w:right w:val="single" w:sz="4" w:space="0" w:color="auto"/>
            </w:tcBorders>
            <w:tcMar>
              <w:left w:w="58" w:type="dxa"/>
              <w:right w:w="58" w:type="dxa"/>
            </w:tcMar>
            <w:vAlign w:val="center"/>
          </w:tcPr>
          <w:p w14:paraId="6B128CE0"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41B36EC7" w14:textId="77777777" w:rsidR="00E465D0" w:rsidRPr="003003C4" w:rsidRDefault="00E465D0" w:rsidP="003730C2">
            <w:pPr>
              <w:jc w:val="left"/>
              <w:rPr>
                <w:bCs/>
                <w:sz w:val="21"/>
                <w:szCs w:val="21"/>
              </w:rPr>
            </w:pPr>
            <w:r w:rsidRPr="003003C4">
              <w:rPr>
                <w:bCs/>
                <w:sz w:val="21"/>
                <w:szCs w:val="21"/>
              </w:rPr>
              <w:t>One or two</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1BAD9672" w14:textId="77777777" w:rsidR="00E465D0" w:rsidRPr="003003C4" w:rsidRDefault="00E465D0" w:rsidP="003220CB">
            <w:pPr>
              <w:jc w:val="right"/>
              <w:rPr>
                <w:sz w:val="21"/>
                <w:szCs w:val="21"/>
              </w:rPr>
            </w:pPr>
            <w:r w:rsidRPr="003003C4">
              <w:rPr>
                <w:color w:val="000000"/>
                <w:sz w:val="21"/>
                <w:szCs w:val="21"/>
              </w:rPr>
              <w:t>81.9</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6D715832" w14:textId="77777777" w:rsidR="00E465D0" w:rsidRPr="003003C4" w:rsidRDefault="00E465D0" w:rsidP="003220CB">
            <w:pPr>
              <w:jc w:val="right"/>
              <w:rPr>
                <w:sz w:val="21"/>
                <w:szCs w:val="21"/>
              </w:rPr>
            </w:pPr>
            <w:r w:rsidRPr="003003C4">
              <w:rPr>
                <w:color w:val="000000"/>
                <w:sz w:val="21"/>
                <w:szCs w:val="21"/>
              </w:rPr>
              <w:t>84.8</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30516CA1" w14:textId="77777777" w:rsidR="00E465D0" w:rsidRPr="003003C4" w:rsidRDefault="00E465D0" w:rsidP="003220CB">
            <w:pPr>
              <w:jc w:val="right"/>
              <w:rPr>
                <w:sz w:val="21"/>
                <w:szCs w:val="21"/>
              </w:rPr>
            </w:pPr>
            <w:r w:rsidRPr="003003C4">
              <w:rPr>
                <w:color w:val="000000"/>
                <w:sz w:val="21"/>
                <w:szCs w:val="21"/>
              </w:rPr>
              <w:t>64.1</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3EC116B5" w14:textId="77777777" w:rsidR="00E465D0" w:rsidRPr="003003C4" w:rsidRDefault="00E465D0" w:rsidP="003220CB">
            <w:pPr>
              <w:jc w:val="right"/>
              <w:rPr>
                <w:sz w:val="21"/>
                <w:szCs w:val="21"/>
              </w:rPr>
            </w:pPr>
            <w:r w:rsidRPr="003003C4">
              <w:rPr>
                <w:color w:val="000000"/>
                <w:sz w:val="21"/>
                <w:szCs w:val="21"/>
              </w:rPr>
              <w:t>35.9</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1090FCC4" w14:textId="77777777" w:rsidR="00E465D0" w:rsidRPr="003003C4" w:rsidRDefault="00E465D0" w:rsidP="003220CB">
            <w:pPr>
              <w:jc w:val="right"/>
              <w:rPr>
                <w:sz w:val="21"/>
                <w:szCs w:val="21"/>
              </w:rPr>
            </w:pPr>
            <w:r w:rsidRPr="003003C4">
              <w:rPr>
                <w:sz w:val="21"/>
                <w:szCs w:val="21"/>
              </w:rPr>
              <w:t>83.0</w:t>
            </w:r>
          </w:p>
        </w:tc>
      </w:tr>
      <w:tr w:rsidR="003730C2" w:rsidRPr="003003C4" w14:paraId="28EBD4A2" w14:textId="77777777" w:rsidTr="003220CB">
        <w:tc>
          <w:tcPr>
            <w:tcW w:w="708" w:type="pct"/>
            <w:vMerge/>
            <w:tcBorders>
              <w:left w:val="double" w:sz="4" w:space="0" w:color="auto"/>
              <w:bottom w:val="single" w:sz="4" w:space="0" w:color="auto"/>
              <w:right w:val="single" w:sz="4" w:space="0" w:color="auto"/>
            </w:tcBorders>
            <w:tcMar>
              <w:left w:w="58" w:type="dxa"/>
              <w:right w:w="58" w:type="dxa"/>
            </w:tcMar>
            <w:vAlign w:val="center"/>
          </w:tcPr>
          <w:p w14:paraId="49D4B5AC"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04A6F90" w14:textId="77777777" w:rsidR="00E465D0" w:rsidRPr="003003C4" w:rsidRDefault="00E465D0" w:rsidP="003730C2">
            <w:pPr>
              <w:jc w:val="left"/>
              <w:rPr>
                <w:bCs/>
                <w:sz w:val="21"/>
                <w:szCs w:val="21"/>
              </w:rPr>
            </w:pPr>
            <w:r w:rsidRPr="003003C4">
              <w:rPr>
                <w:bCs/>
                <w:sz w:val="21"/>
                <w:szCs w:val="21"/>
              </w:rPr>
              <w:t>Three or more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42A6A641" w14:textId="77777777" w:rsidR="00E465D0" w:rsidRPr="003003C4" w:rsidRDefault="00E465D0" w:rsidP="003220CB">
            <w:pPr>
              <w:jc w:val="right"/>
              <w:rPr>
                <w:sz w:val="21"/>
                <w:szCs w:val="21"/>
              </w:rPr>
            </w:pPr>
            <w:r w:rsidRPr="003003C4">
              <w:rPr>
                <w:color w:val="000000"/>
                <w:sz w:val="21"/>
                <w:szCs w:val="21"/>
              </w:rPr>
              <w:t>11.6</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E44D546" w14:textId="77777777" w:rsidR="00E465D0" w:rsidRPr="003003C4" w:rsidRDefault="00E465D0" w:rsidP="003220CB">
            <w:pPr>
              <w:jc w:val="right"/>
              <w:rPr>
                <w:sz w:val="21"/>
                <w:szCs w:val="21"/>
              </w:rPr>
            </w:pPr>
            <w:r w:rsidRPr="003003C4">
              <w:rPr>
                <w:color w:val="000000"/>
                <w:sz w:val="21"/>
                <w:szCs w:val="21"/>
              </w:rPr>
              <w:t>11.8</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center"/>
          </w:tcPr>
          <w:p w14:paraId="01B68F23" w14:textId="77777777" w:rsidR="00E465D0" w:rsidRPr="003003C4" w:rsidRDefault="00E465D0" w:rsidP="003220CB">
            <w:pPr>
              <w:jc w:val="right"/>
              <w:rPr>
                <w:sz w:val="21"/>
                <w:szCs w:val="21"/>
              </w:rPr>
            </w:pPr>
            <w:r w:rsidRPr="003003C4">
              <w:rPr>
                <w:color w:val="000000"/>
                <w:sz w:val="21"/>
                <w:szCs w:val="21"/>
              </w:rPr>
              <w:t>64.5</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539DE7BD" w14:textId="77777777" w:rsidR="00E465D0" w:rsidRPr="003003C4" w:rsidRDefault="00E465D0" w:rsidP="003220CB">
            <w:pPr>
              <w:jc w:val="right"/>
              <w:rPr>
                <w:sz w:val="21"/>
                <w:szCs w:val="21"/>
              </w:rPr>
            </w:pPr>
            <w:r w:rsidRPr="003003C4">
              <w:rPr>
                <w:color w:val="000000"/>
                <w:sz w:val="21"/>
                <w:szCs w:val="21"/>
              </w:rPr>
              <w:t>35.5</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center"/>
          </w:tcPr>
          <w:p w14:paraId="6BD01613" w14:textId="77777777" w:rsidR="00E465D0" w:rsidRPr="003003C4" w:rsidRDefault="00E465D0" w:rsidP="003220CB">
            <w:pPr>
              <w:jc w:val="right"/>
              <w:rPr>
                <w:sz w:val="21"/>
                <w:szCs w:val="21"/>
              </w:rPr>
            </w:pPr>
            <w:r w:rsidRPr="003003C4">
              <w:rPr>
                <w:sz w:val="21"/>
                <w:szCs w:val="21"/>
              </w:rPr>
              <w:t>11.6</w:t>
            </w:r>
          </w:p>
        </w:tc>
      </w:tr>
      <w:tr w:rsidR="00E465D0" w:rsidRPr="003003C4" w14:paraId="61E6796C" w14:textId="77777777" w:rsidTr="003730C2">
        <w:tc>
          <w:tcPr>
            <w:tcW w:w="5000" w:type="pct"/>
            <w:gridSpan w:val="7"/>
            <w:tcBorders>
              <w:top w:val="double" w:sz="4" w:space="0" w:color="auto"/>
              <w:left w:val="double" w:sz="4" w:space="0" w:color="auto"/>
              <w:bottom w:val="double" w:sz="4" w:space="0" w:color="auto"/>
              <w:right w:val="double" w:sz="4" w:space="0" w:color="auto"/>
            </w:tcBorders>
            <w:tcMar>
              <w:left w:w="58" w:type="dxa"/>
              <w:right w:w="58" w:type="dxa"/>
            </w:tcMar>
            <w:vAlign w:val="center"/>
            <w:hideMark/>
          </w:tcPr>
          <w:p w14:paraId="7A491CE5" w14:textId="77777777" w:rsidR="00E465D0" w:rsidRPr="003003C4" w:rsidRDefault="00E465D0" w:rsidP="003730C2">
            <w:pPr>
              <w:jc w:val="left"/>
              <w:rPr>
                <w:bCs/>
                <w:sz w:val="21"/>
                <w:szCs w:val="21"/>
              </w:rPr>
            </w:pPr>
            <w:r w:rsidRPr="003003C4">
              <w:rPr>
                <w:b/>
                <w:i/>
                <w:iCs/>
                <w:sz w:val="21"/>
                <w:szCs w:val="21"/>
              </w:rPr>
              <w:t>Residential Characteristics</w:t>
            </w:r>
          </w:p>
        </w:tc>
      </w:tr>
      <w:tr w:rsidR="003730C2" w:rsidRPr="003003C4" w14:paraId="57CD9F81" w14:textId="77777777" w:rsidTr="003730C2">
        <w:tc>
          <w:tcPr>
            <w:tcW w:w="708" w:type="pct"/>
            <w:vMerge w:val="restart"/>
            <w:tcBorders>
              <w:top w:val="single" w:sz="4" w:space="0" w:color="auto"/>
              <w:left w:val="double" w:sz="4" w:space="0" w:color="auto"/>
              <w:bottom w:val="single" w:sz="4" w:space="0" w:color="auto"/>
              <w:right w:val="single" w:sz="4" w:space="0" w:color="auto"/>
            </w:tcBorders>
            <w:tcMar>
              <w:left w:w="58" w:type="dxa"/>
              <w:right w:w="58" w:type="dxa"/>
            </w:tcMar>
            <w:vAlign w:val="center"/>
            <w:hideMark/>
          </w:tcPr>
          <w:p w14:paraId="61CD045E" w14:textId="77777777" w:rsidR="00E465D0" w:rsidRPr="003003C4" w:rsidRDefault="00E465D0" w:rsidP="003730C2">
            <w:pPr>
              <w:jc w:val="left"/>
              <w:rPr>
                <w:bCs/>
                <w:sz w:val="21"/>
                <w:szCs w:val="21"/>
              </w:rPr>
            </w:pPr>
            <w:r w:rsidRPr="003003C4">
              <w:rPr>
                <w:bCs/>
                <w:sz w:val="21"/>
                <w:szCs w:val="21"/>
              </w:rPr>
              <w:t>Population density</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hideMark/>
          </w:tcPr>
          <w:p w14:paraId="112D65B7" w14:textId="77777777" w:rsidR="00E465D0" w:rsidRPr="003003C4" w:rsidRDefault="00E465D0" w:rsidP="003730C2">
            <w:pPr>
              <w:jc w:val="left"/>
              <w:rPr>
                <w:sz w:val="21"/>
                <w:szCs w:val="21"/>
              </w:rPr>
            </w:pPr>
            <w:r w:rsidRPr="003003C4">
              <w:rPr>
                <w:sz w:val="21"/>
                <w:szCs w:val="21"/>
              </w:rPr>
              <w:t>Rural</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15A3CF9C" w14:textId="77777777" w:rsidR="00E465D0" w:rsidRPr="003003C4" w:rsidRDefault="00E465D0" w:rsidP="00302827">
            <w:pPr>
              <w:jc w:val="right"/>
              <w:rPr>
                <w:sz w:val="21"/>
                <w:szCs w:val="21"/>
              </w:rPr>
            </w:pPr>
            <w:r w:rsidRPr="003003C4">
              <w:rPr>
                <w:color w:val="000000"/>
                <w:sz w:val="21"/>
                <w:szCs w:val="21"/>
              </w:rPr>
              <w:t>15.6</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48605B01" w14:textId="77777777" w:rsidR="00E465D0" w:rsidRPr="003003C4" w:rsidRDefault="00E465D0" w:rsidP="00302827">
            <w:pPr>
              <w:jc w:val="right"/>
              <w:rPr>
                <w:sz w:val="21"/>
                <w:szCs w:val="21"/>
              </w:rPr>
            </w:pPr>
            <w:r w:rsidRPr="003003C4">
              <w:rPr>
                <w:color w:val="000000"/>
                <w:sz w:val="21"/>
                <w:szCs w:val="21"/>
              </w:rPr>
              <w:t>13.2</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33900C35" w14:textId="77777777" w:rsidR="00E465D0" w:rsidRPr="003003C4" w:rsidRDefault="00E465D0" w:rsidP="00302827">
            <w:pPr>
              <w:jc w:val="right"/>
              <w:rPr>
                <w:sz w:val="21"/>
                <w:szCs w:val="21"/>
              </w:rPr>
            </w:pPr>
            <w:r w:rsidRPr="003003C4">
              <w:rPr>
                <w:color w:val="000000"/>
                <w:sz w:val="21"/>
                <w:szCs w:val="21"/>
              </w:rPr>
              <w:t>68.8</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383114BC" w14:textId="77777777" w:rsidR="00E465D0" w:rsidRPr="003003C4" w:rsidRDefault="00E465D0" w:rsidP="00302827">
            <w:pPr>
              <w:jc w:val="right"/>
              <w:rPr>
                <w:sz w:val="21"/>
                <w:szCs w:val="21"/>
              </w:rPr>
            </w:pPr>
            <w:r w:rsidRPr="003003C4">
              <w:rPr>
                <w:color w:val="000000"/>
                <w:sz w:val="21"/>
                <w:szCs w:val="21"/>
              </w:rPr>
              <w:t>31.2</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bottom"/>
          </w:tcPr>
          <w:p w14:paraId="4DF55513" w14:textId="77777777" w:rsidR="00E465D0" w:rsidRPr="003003C4" w:rsidRDefault="00E465D0" w:rsidP="00302827">
            <w:pPr>
              <w:jc w:val="right"/>
              <w:rPr>
                <w:sz w:val="21"/>
                <w:szCs w:val="21"/>
              </w:rPr>
            </w:pPr>
            <w:r w:rsidRPr="003003C4">
              <w:rPr>
                <w:sz w:val="21"/>
                <w:szCs w:val="21"/>
              </w:rPr>
              <w:t>14.7</w:t>
            </w:r>
          </w:p>
        </w:tc>
      </w:tr>
      <w:tr w:rsidR="003730C2" w:rsidRPr="003003C4" w14:paraId="6B03ED40" w14:textId="77777777" w:rsidTr="003730C2">
        <w:tc>
          <w:tcPr>
            <w:tcW w:w="708" w:type="pct"/>
            <w:vMerge/>
            <w:tcBorders>
              <w:top w:val="single" w:sz="4" w:space="0" w:color="auto"/>
              <w:left w:val="double" w:sz="4" w:space="0" w:color="auto"/>
              <w:bottom w:val="single" w:sz="4" w:space="0" w:color="auto"/>
              <w:right w:val="single" w:sz="4" w:space="0" w:color="auto"/>
            </w:tcBorders>
            <w:tcMar>
              <w:left w:w="58" w:type="dxa"/>
              <w:right w:w="58" w:type="dxa"/>
            </w:tcMar>
            <w:vAlign w:val="center"/>
          </w:tcPr>
          <w:p w14:paraId="066CFD65" w14:textId="77777777" w:rsidR="00E465D0" w:rsidRPr="003003C4" w:rsidRDefault="00E465D0" w:rsidP="003730C2">
            <w:pPr>
              <w:jc w:val="left"/>
              <w:rPr>
                <w:bCs/>
                <w:sz w:val="21"/>
                <w:szCs w:val="21"/>
              </w:rPr>
            </w:pP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1E41C3E4" w14:textId="77777777" w:rsidR="00E465D0" w:rsidRPr="003003C4" w:rsidRDefault="00E465D0" w:rsidP="003730C2">
            <w:pPr>
              <w:jc w:val="left"/>
              <w:rPr>
                <w:sz w:val="21"/>
                <w:szCs w:val="21"/>
              </w:rPr>
            </w:pPr>
            <w:r w:rsidRPr="003003C4">
              <w:rPr>
                <w:sz w:val="21"/>
                <w:szCs w:val="21"/>
              </w:rPr>
              <w:t>Suburban or Urban</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5C04BE25" w14:textId="77777777" w:rsidR="00E465D0" w:rsidRPr="003003C4" w:rsidRDefault="00E465D0" w:rsidP="00302827">
            <w:pPr>
              <w:jc w:val="right"/>
              <w:rPr>
                <w:sz w:val="21"/>
                <w:szCs w:val="21"/>
              </w:rPr>
            </w:pPr>
            <w:r w:rsidRPr="003003C4">
              <w:rPr>
                <w:color w:val="000000"/>
                <w:sz w:val="21"/>
                <w:szCs w:val="21"/>
              </w:rPr>
              <w:t>84.4</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3CFF73BF" w14:textId="77777777" w:rsidR="00E465D0" w:rsidRPr="003003C4" w:rsidRDefault="00E465D0" w:rsidP="00302827">
            <w:pPr>
              <w:jc w:val="right"/>
              <w:rPr>
                <w:sz w:val="21"/>
                <w:szCs w:val="21"/>
              </w:rPr>
            </w:pPr>
            <w:r w:rsidRPr="003003C4">
              <w:rPr>
                <w:color w:val="000000"/>
                <w:sz w:val="21"/>
                <w:szCs w:val="21"/>
              </w:rPr>
              <w:t>86.8</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2F084C37" w14:textId="77777777" w:rsidR="00E465D0" w:rsidRPr="003003C4" w:rsidRDefault="00E465D0" w:rsidP="00302827">
            <w:pPr>
              <w:jc w:val="right"/>
              <w:rPr>
                <w:sz w:val="21"/>
                <w:szCs w:val="21"/>
              </w:rPr>
            </w:pPr>
            <w:r w:rsidRPr="003003C4">
              <w:rPr>
                <w:color w:val="000000"/>
                <w:sz w:val="21"/>
                <w:szCs w:val="21"/>
              </w:rPr>
              <w:t>64.2</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6C60AE0C" w14:textId="77777777" w:rsidR="00E465D0" w:rsidRPr="003003C4" w:rsidRDefault="00E465D0" w:rsidP="00302827">
            <w:pPr>
              <w:jc w:val="right"/>
              <w:rPr>
                <w:sz w:val="21"/>
                <w:szCs w:val="21"/>
              </w:rPr>
            </w:pPr>
            <w:r w:rsidRPr="003003C4">
              <w:rPr>
                <w:color w:val="000000"/>
                <w:sz w:val="21"/>
                <w:szCs w:val="21"/>
              </w:rPr>
              <w:t>35.8</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bottom"/>
          </w:tcPr>
          <w:p w14:paraId="5401FAEB" w14:textId="77777777" w:rsidR="00E465D0" w:rsidRPr="003003C4" w:rsidRDefault="00E465D0" w:rsidP="00302827">
            <w:pPr>
              <w:jc w:val="right"/>
              <w:rPr>
                <w:sz w:val="21"/>
                <w:szCs w:val="21"/>
              </w:rPr>
            </w:pPr>
            <w:r w:rsidRPr="003003C4">
              <w:rPr>
                <w:sz w:val="21"/>
                <w:szCs w:val="21"/>
              </w:rPr>
              <w:t>85.3</w:t>
            </w:r>
          </w:p>
        </w:tc>
      </w:tr>
      <w:tr w:rsidR="003730C2" w:rsidRPr="003003C4" w14:paraId="4EE4D27F" w14:textId="77777777" w:rsidTr="003730C2">
        <w:tc>
          <w:tcPr>
            <w:tcW w:w="708" w:type="pct"/>
            <w:vMerge w:val="restart"/>
            <w:tcBorders>
              <w:top w:val="single" w:sz="4" w:space="0" w:color="auto"/>
              <w:left w:val="double" w:sz="4" w:space="0" w:color="auto"/>
              <w:right w:val="single" w:sz="4" w:space="0" w:color="auto"/>
            </w:tcBorders>
            <w:tcMar>
              <w:left w:w="58" w:type="dxa"/>
              <w:right w:w="58" w:type="dxa"/>
            </w:tcMar>
            <w:vAlign w:val="center"/>
          </w:tcPr>
          <w:p w14:paraId="10B18EF6" w14:textId="77777777" w:rsidR="00E465D0" w:rsidRPr="003003C4" w:rsidRDefault="00E465D0" w:rsidP="003730C2">
            <w:pPr>
              <w:jc w:val="left"/>
              <w:rPr>
                <w:bCs/>
                <w:sz w:val="21"/>
                <w:szCs w:val="21"/>
              </w:rPr>
            </w:pPr>
            <w:r w:rsidRPr="003003C4">
              <w:rPr>
                <w:bCs/>
                <w:sz w:val="21"/>
                <w:szCs w:val="21"/>
              </w:rPr>
              <w:t>Proximity to retail store</w:t>
            </w:r>
          </w:p>
        </w:tc>
        <w:tc>
          <w:tcPr>
            <w:tcW w:w="1427" w:type="pct"/>
            <w:tcBorders>
              <w:top w:val="single" w:sz="4" w:space="0" w:color="auto"/>
              <w:left w:val="single" w:sz="4" w:space="0" w:color="auto"/>
              <w:bottom w:val="single" w:sz="4" w:space="0" w:color="auto"/>
              <w:right w:val="single" w:sz="12" w:space="0" w:color="auto"/>
            </w:tcBorders>
            <w:tcMar>
              <w:left w:w="58" w:type="dxa"/>
              <w:right w:w="58" w:type="dxa"/>
            </w:tcMar>
            <w:vAlign w:val="center"/>
          </w:tcPr>
          <w:p w14:paraId="06C63DA0" w14:textId="77777777" w:rsidR="00E465D0" w:rsidRPr="003003C4" w:rsidRDefault="00E465D0" w:rsidP="003730C2">
            <w:pPr>
              <w:jc w:val="left"/>
              <w:rPr>
                <w:sz w:val="21"/>
                <w:szCs w:val="21"/>
              </w:rPr>
            </w:pPr>
            <w:r w:rsidRPr="003003C4">
              <w:rPr>
                <w:sz w:val="21"/>
                <w:szCs w:val="21"/>
              </w:rPr>
              <w:t>Within zip code</w:t>
            </w:r>
          </w:p>
        </w:tc>
        <w:tc>
          <w:tcPr>
            <w:tcW w:w="578"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7E36D6D2" w14:textId="77777777" w:rsidR="00E465D0" w:rsidRPr="003003C4" w:rsidRDefault="00E465D0" w:rsidP="00302827">
            <w:pPr>
              <w:jc w:val="right"/>
              <w:rPr>
                <w:sz w:val="21"/>
                <w:szCs w:val="21"/>
              </w:rPr>
            </w:pPr>
            <w:r w:rsidRPr="003003C4">
              <w:rPr>
                <w:color w:val="000000"/>
                <w:sz w:val="21"/>
                <w:szCs w:val="21"/>
              </w:rPr>
              <w:t>67.2</w:t>
            </w:r>
          </w:p>
        </w:tc>
        <w:tc>
          <w:tcPr>
            <w:tcW w:w="566"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18DC433B" w14:textId="77777777" w:rsidR="00E465D0" w:rsidRPr="003003C4" w:rsidRDefault="00E465D0" w:rsidP="00302827">
            <w:pPr>
              <w:jc w:val="right"/>
              <w:rPr>
                <w:sz w:val="21"/>
                <w:szCs w:val="21"/>
              </w:rPr>
            </w:pPr>
            <w:r w:rsidRPr="003003C4">
              <w:rPr>
                <w:color w:val="000000"/>
                <w:sz w:val="21"/>
                <w:szCs w:val="21"/>
              </w:rPr>
              <w:t>67.9</w:t>
            </w:r>
          </w:p>
        </w:tc>
        <w:tc>
          <w:tcPr>
            <w:tcW w:w="581" w:type="pct"/>
            <w:tcBorders>
              <w:top w:val="single" w:sz="4" w:space="0" w:color="auto"/>
              <w:left w:val="single" w:sz="12" w:space="0" w:color="auto"/>
              <w:bottom w:val="single" w:sz="4" w:space="0" w:color="auto"/>
              <w:right w:val="single" w:sz="4" w:space="0" w:color="auto"/>
            </w:tcBorders>
            <w:tcMar>
              <w:left w:w="58" w:type="dxa"/>
              <w:right w:w="58" w:type="dxa"/>
            </w:tcMar>
            <w:vAlign w:val="bottom"/>
          </w:tcPr>
          <w:p w14:paraId="550BFB89" w14:textId="77777777" w:rsidR="00E465D0" w:rsidRPr="003003C4" w:rsidRDefault="00E465D0" w:rsidP="00302827">
            <w:pPr>
              <w:jc w:val="right"/>
              <w:rPr>
                <w:sz w:val="21"/>
                <w:szCs w:val="21"/>
              </w:rPr>
            </w:pPr>
            <w:r w:rsidRPr="003003C4">
              <w:rPr>
                <w:color w:val="000000"/>
                <w:sz w:val="21"/>
                <w:szCs w:val="21"/>
              </w:rPr>
              <w:t>64.5</w:t>
            </w:r>
          </w:p>
        </w:tc>
        <w:tc>
          <w:tcPr>
            <w:tcW w:w="563" w:type="pct"/>
            <w:tcBorders>
              <w:top w:val="single" w:sz="4" w:space="0" w:color="auto"/>
              <w:left w:val="single" w:sz="4" w:space="0" w:color="auto"/>
              <w:bottom w:val="single" w:sz="4" w:space="0" w:color="auto"/>
              <w:right w:val="single" w:sz="12" w:space="0" w:color="auto"/>
            </w:tcBorders>
            <w:tcMar>
              <w:left w:w="58" w:type="dxa"/>
              <w:right w:w="58" w:type="dxa"/>
            </w:tcMar>
            <w:vAlign w:val="bottom"/>
          </w:tcPr>
          <w:p w14:paraId="47BD8D16" w14:textId="77777777" w:rsidR="00E465D0" w:rsidRPr="003003C4" w:rsidRDefault="00E465D0" w:rsidP="00302827">
            <w:pPr>
              <w:jc w:val="right"/>
              <w:rPr>
                <w:sz w:val="21"/>
                <w:szCs w:val="21"/>
              </w:rPr>
            </w:pPr>
            <w:r w:rsidRPr="003003C4">
              <w:rPr>
                <w:color w:val="000000"/>
                <w:sz w:val="21"/>
                <w:szCs w:val="21"/>
              </w:rPr>
              <w:t>35.5</w:t>
            </w:r>
          </w:p>
        </w:tc>
        <w:tc>
          <w:tcPr>
            <w:tcW w:w="577" w:type="pct"/>
            <w:tcBorders>
              <w:top w:val="single" w:sz="4" w:space="0" w:color="auto"/>
              <w:left w:val="single" w:sz="12" w:space="0" w:color="auto"/>
              <w:bottom w:val="single" w:sz="4" w:space="0" w:color="auto"/>
              <w:right w:val="double" w:sz="4" w:space="0" w:color="auto"/>
            </w:tcBorders>
            <w:tcMar>
              <w:left w:w="58" w:type="dxa"/>
              <w:right w:w="58" w:type="dxa"/>
            </w:tcMar>
            <w:vAlign w:val="bottom"/>
          </w:tcPr>
          <w:p w14:paraId="4DDA686C" w14:textId="77777777" w:rsidR="00E465D0" w:rsidRPr="003003C4" w:rsidRDefault="00E465D0" w:rsidP="00302827">
            <w:pPr>
              <w:jc w:val="right"/>
              <w:rPr>
                <w:sz w:val="21"/>
                <w:szCs w:val="21"/>
              </w:rPr>
            </w:pPr>
            <w:r w:rsidRPr="003003C4">
              <w:rPr>
                <w:color w:val="000000"/>
                <w:sz w:val="21"/>
                <w:szCs w:val="21"/>
              </w:rPr>
              <w:t>67.4</w:t>
            </w:r>
          </w:p>
        </w:tc>
      </w:tr>
      <w:tr w:rsidR="003730C2" w:rsidRPr="003003C4" w14:paraId="67DA5788" w14:textId="77777777" w:rsidTr="003730C2">
        <w:tc>
          <w:tcPr>
            <w:tcW w:w="708" w:type="pct"/>
            <w:vMerge/>
            <w:tcBorders>
              <w:left w:val="double" w:sz="4" w:space="0" w:color="auto"/>
              <w:bottom w:val="double" w:sz="4" w:space="0" w:color="auto"/>
              <w:right w:val="single" w:sz="4" w:space="0" w:color="auto"/>
            </w:tcBorders>
            <w:tcMar>
              <w:left w:w="58" w:type="dxa"/>
              <w:right w:w="58" w:type="dxa"/>
            </w:tcMar>
            <w:vAlign w:val="center"/>
          </w:tcPr>
          <w:p w14:paraId="3B6C351E" w14:textId="77777777" w:rsidR="00E465D0" w:rsidRPr="003003C4" w:rsidRDefault="00E465D0" w:rsidP="00302827">
            <w:pPr>
              <w:rPr>
                <w:bCs/>
                <w:sz w:val="21"/>
                <w:szCs w:val="21"/>
              </w:rPr>
            </w:pPr>
          </w:p>
        </w:tc>
        <w:tc>
          <w:tcPr>
            <w:tcW w:w="1427" w:type="pct"/>
            <w:tcBorders>
              <w:top w:val="single" w:sz="4" w:space="0" w:color="auto"/>
              <w:left w:val="single" w:sz="4" w:space="0" w:color="auto"/>
              <w:bottom w:val="double" w:sz="4" w:space="0" w:color="auto"/>
              <w:right w:val="single" w:sz="12" w:space="0" w:color="auto"/>
            </w:tcBorders>
            <w:tcMar>
              <w:left w:w="58" w:type="dxa"/>
              <w:right w:w="58" w:type="dxa"/>
            </w:tcMar>
            <w:vAlign w:val="center"/>
          </w:tcPr>
          <w:p w14:paraId="413E97B7" w14:textId="77777777" w:rsidR="00E465D0" w:rsidRPr="003003C4" w:rsidRDefault="00E465D0" w:rsidP="003730C2">
            <w:pPr>
              <w:jc w:val="left"/>
              <w:rPr>
                <w:sz w:val="21"/>
                <w:szCs w:val="21"/>
              </w:rPr>
            </w:pPr>
            <w:r w:rsidRPr="003003C4">
              <w:rPr>
                <w:sz w:val="21"/>
                <w:szCs w:val="21"/>
              </w:rPr>
              <w:t>Not within zip code</w:t>
            </w:r>
          </w:p>
        </w:tc>
        <w:tc>
          <w:tcPr>
            <w:tcW w:w="578" w:type="pct"/>
            <w:tcBorders>
              <w:top w:val="single" w:sz="4" w:space="0" w:color="auto"/>
              <w:left w:val="single" w:sz="12" w:space="0" w:color="auto"/>
              <w:bottom w:val="double" w:sz="4" w:space="0" w:color="auto"/>
              <w:right w:val="single" w:sz="4" w:space="0" w:color="auto"/>
            </w:tcBorders>
            <w:tcMar>
              <w:left w:w="58" w:type="dxa"/>
              <w:right w:w="58" w:type="dxa"/>
            </w:tcMar>
            <w:vAlign w:val="bottom"/>
          </w:tcPr>
          <w:p w14:paraId="194F1CD4" w14:textId="77777777" w:rsidR="00E465D0" w:rsidRPr="003003C4" w:rsidRDefault="00E465D0" w:rsidP="00302827">
            <w:pPr>
              <w:jc w:val="right"/>
              <w:rPr>
                <w:sz w:val="21"/>
                <w:szCs w:val="21"/>
              </w:rPr>
            </w:pPr>
            <w:r w:rsidRPr="003003C4">
              <w:rPr>
                <w:color w:val="000000"/>
                <w:sz w:val="21"/>
                <w:szCs w:val="21"/>
              </w:rPr>
              <w:t>32.8</w:t>
            </w:r>
          </w:p>
        </w:tc>
        <w:tc>
          <w:tcPr>
            <w:tcW w:w="566" w:type="pct"/>
            <w:tcBorders>
              <w:top w:val="single" w:sz="4" w:space="0" w:color="auto"/>
              <w:left w:val="single" w:sz="4" w:space="0" w:color="auto"/>
              <w:bottom w:val="double" w:sz="4" w:space="0" w:color="auto"/>
              <w:right w:val="single" w:sz="12" w:space="0" w:color="auto"/>
            </w:tcBorders>
            <w:tcMar>
              <w:left w:w="58" w:type="dxa"/>
              <w:right w:w="58" w:type="dxa"/>
            </w:tcMar>
            <w:vAlign w:val="bottom"/>
          </w:tcPr>
          <w:p w14:paraId="0B11A039" w14:textId="77777777" w:rsidR="00E465D0" w:rsidRPr="003003C4" w:rsidRDefault="00E465D0" w:rsidP="00302827">
            <w:pPr>
              <w:jc w:val="right"/>
              <w:rPr>
                <w:sz w:val="21"/>
                <w:szCs w:val="21"/>
              </w:rPr>
            </w:pPr>
            <w:r w:rsidRPr="003003C4">
              <w:rPr>
                <w:color w:val="000000"/>
                <w:sz w:val="21"/>
                <w:szCs w:val="21"/>
              </w:rPr>
              <w:t>32.1</w:t>
            </w:r>
          </w:p>
        </w:tc>
        <w:tc>
          <w:tcPr>
            <w:tcW w:w="581" w:type="pct"/>
            <w:tcBorders>
              <w:top w:val="single" w:sz="4" w:space="0" w:color="auto"/>
              <w:left w:val="single" w:sz="12" w:space="0" w:color="auto"/>
              <w:bottom w:val="double" w:sz="4" w:space="0" w:color="auto"/>
              <w:right w:val="single" w:sz="4" w:space="0" w:color="auto"/>
            </w:tcBorders>
            <w:tcMar>
              <w:left w:w="58" w:type="dxa"/>
              <w:right w:w="58" w:type="dxa"/>
            </w:tcMar>
            <w:vAlign w:val="bottom"/>
          </w:tcPr>
          <w:p w14:paraId="3E3C6ED1" w14:textId="77777777" w:rsidR="00E465D0" w:rsidRPr="003003C4" w:rsidRDefault="00E465D0" w:rsidP="00302827">
            <w:pPr>
              <w:jc w:val="right"/>
              <w:rPr>
                <w:sz w:val="21"/>
                <w:szCs w:val="21"/>
              </w:rPr>
            </w:pPr>
            <w:r w:rsidRPr="003003C4">
              <w:rPr>
                <w:color w:val="000000"/>
                <w:sz w:val="21"/>
                <w:szCs w:val="21"/>
              </w:rPr>
              <w:t>65.5</w:t>
            </w:r>
          </w:p>
        </w:tc>
        <w:tc>
          <w:tcPr>
            <w:tcW w:w="563" w:type="pct"/>
            <w:tcBorders>
              <w:top w:val="single" w:sz="4" w:space="0" w:color="auto"/>
              <w:left w:val="single" w:sz="4" w:space="0" w:color="auto"/>
              <w:bottom w:val="double" w:sz="4" w:space="0" w:color="auto"/>
              <w:right w:val="single" w:sz="12" w:space="0" w:color="auto"/>
            </w:tcBorders>
            <w:tcMar>
              <w:left w:w="58" w:type="dxa"/>
              <w:right w:w="58" w:type="dxa"/>
            </w:tcMar>
            <w:vAlign w:val="bottom"/>
          </w:tcPr>
          <w:p w14:paraId="2F742609" w14:textId="77777777" w:rsidR="00E465D0" w:rsidRPr="003003C4" w:rsidRDefault="00E465D0" w:rsidP="00302827">
            <w:pPr>
              <w:jc w:val="right"/>
              <w:rPr>
                <w:sz w:val="21"/>
                <w:szCs w:val="21"/>
              </w:rPr>
            </w:pPr>
            <w:r w:rsidRPr="003003C4">
              <w:rPr>
                <w:color w:val="000000"/>
                <w:sz w:val="21"/>
                <w:szCs w:val="21"/>
              </w:rPr>
              <w:t>34.5</w:t>
            </w:r>
          </w:p>
        </w:tc>
        <w:tc>
          <w:tcPr>
            <w:tcW w:w="577" w:type="pct"/>
            <w:tcBorders>
              <w:top w:val="single" w:sz="4" w:space="0" w:color="auto"/>
              <w:left w:val="single" w:sz="12" w:space="0" w:color="auto"/>
              <w:bottom w:val="double" w:sz="4" w:space="0" w:color="auto"/>
              <w:right w:val="double" w:sz="4" w:space="0" w:color="auto"/>
            </w:tcBorders>
            <w:tcMar>
              <w:left w:w="58" w:type="dxa"/>
              <w:right w:w="58" w:type="dxa"/>
            </w:tcMar>
            <w:vAlign w:val="bottom"/>
          </w:tcPr>
          <w:p w14:paraId="15E40682" w14:textId="77777777" w:rsidR="00E465D0" w:rsidRPr="003003C4" w:rsidRDefault="00E465D0" w:rsidP="00302827">
            <w:pPr>
              <w:jc w:val="right"/>
              <w:rPr>
                <w:sz w:val="21"/>
                <w:szCs w:val="21"/>
              </w:rPr>
            </w:pPr>
            <w:r w:rsidRPr="003003C4">
              <w:rPr>
                <w:color w:val="000000"/>
                <w:sz w:val="21"/>
                <w:szCs w:val="21"/>
              </w:rPr>
              <w:t>32.6</w:t>
            </w:r>
          </w:p>
        </w:tc>
      </w:tr>
      <w:tr w:rsidR="003730C2" w:rsidRPr="003003C4" w14:paraId="28648B2B" w14:textId="77777777" w:rsidTr="003730C2">
        <w:tc>
          <w:tcPr>
            <w:tcW w:w="2135" w:type="pct"/>
            <w:gridSpan w:val="2"/>
            <w:vMerge w:val="restart"/>
            <w:tcBorders>
              <w:top w:val="double" w:sz="4" w:space="0" w:color="auto"/>
              <w:left w:val="double" w:sz="4" w:space="0" w:color="auto"/>
              <w:bottom w:val="single" w:sz="18" w:space="0" w:color="auto"/>
              <w:right w:val="single" w:sz="12" w:space="0" w:color="auto"/>
            </w:tcBorders>
            <w:tcMar>
              <w:left w:w="58" w:type="dxa"/>
              <w:right w:w="58" w:type="dxa"/>
            </w:tcMar>
            <w:vAlign w:val="center"/>
            <w:hideMark/>
          </w:tcPr>
          <w:p w14:paraId="3E5CDFFD" w14:textId="77777777" w:rsidR="00E465D0" w:rsidRPr="003003C4" w:rsidRDefault="00E465D0" w:rsidP="00302827">
            <w:pPr>
              <w:rPr>
                <w:b/>
                <w:sz w:val="21"/>
                <w:szCs w:val="21"/>
              </w:rPr>
            </w:pPr>
            <w:r w:rsidRPr="003003C4">
              <w:rPr>
                <w:b/>
                <w:sz w:val="21"/>
                <w:szCs w:val="21"/>
              </w:rPr>
              <w:t>Segment size</w:t>
            </w:r>
          </w:p>
        </w:tc>
        <w:tc>
          <w:tcPr>
            <w:tcW w:w="1144" w:type="pct"/>
            <w:gridSpan w:val="2"/>
            <w:tcBorders>
              <w:top w:val="double" w:sz="4" w:space="0" w:color="auto"/>
              <w:left w:val="single" w:sz="12" w:space="0" w:color="auto"/>
              <w:bottom w:val="single" w:sz="4" w:space="0" w:color="auto"/>
              <w:right w:val="single" w:sz="12" w:space="0" w:color="auto"/>
            </w:tcBorders>
            <w:tcMar>
              <w:left w:w="58" w:type="dxa"/>
              <w:right w:w="58" w:type="dxa"/>
            </w:tcMar>
            <w:vAlign w:val="center"/>
            <w:hideMark/>
          </w:tcPr>
          <w:p w14:paraId="0C09AFC0" w14:textId="77777777" w:rsidR="00E465D0" w:rsidRPr="003003C4" w:rsidRDefault="00E465D0" w:rsidP="00302827">
            <w:pPr>
              <w:rPr>
                <w:b/>
                <w:sz w:val="21"/>
                <w:szCs w:val="21"/>
              </w:rPr>
            </w:pPr>
            <w:r w:rsidRPr="003003C4">
              <w:rPr>
                <w:b/>
                <w:sz w:val="21"/>
                <w:szCs w:val="21"/>
              </w:rPr>
              <w:t>Percent (%)</w:t>
            </w:r>
          </w:p>
        </w:tc>
        <w:tc>
          <w:tcPr>
            <w:tcW w:w="581" w:type="pct"/>
            <w:tcBorders>
              <w:top w:val="double" w:sz="4" w:space="0" w:color="auto"/>
              <w:left w:val="single" w:sz="12" w:space="0" w:color="auto"/>
              <w:bottom w:val="single" w:sz="4" w:space="0" w:color="auto"/>
              <w:right w:val="single" w:sz="4" w:space="0" w:color="auto"/>
            </w:tcBorders>
            <w:tcMar>
              <w:left w:w="58" w:type="dxa"/>
              <w:right w:w="58" w:type="dxa"/>
            </w:tcMar>
            <w:vAlign w:val="center"/>
            <w:hideMark/>
          </w:tcPr>
          <w:p w14:paraId="6AA80D1F" w14:textId="77777777" w:rsidR="00E465D0" w:rsidRPr="003003C4" w:rsidRDefault="00E465D0" w:rsidP="00302827">
            <w:pPr>
              <w:jc w:val="right"/>
              <w:rPr>
                <w:b/>
                <w:bCs/>
                <w:sz w:val="21"/>
                <w:szCs w:val="21"/>
              </w:rPr>
            </w:pPr>
            <w:r w:rsidRPr="003003C4">
              <w:rPr>
                <w:rFonts w:eastAsia="Calibri"/>
                <w:b/>
                <w:bCs/>
                <w:sz w:val="21"/>
                <w:szCs w:val="21"/>
              </w:rPr>
              <w:t>64.8</w:t>
            </w:r>
          </w:p>
        </w:tc>
        <w:tc>
          <w:tcPr>
            <w:tcW w:w="563" w:type="pct"/>
            <w:tcBorders>
              <w:top w:val="double" w:sz="4" w:space="0" w:color="auto"/>
              <w:left w:val="single" w:sz="4" w:space="0" w:color="auto"/>
              <w:bottom w:val="single" w:sz="4" w:space="0" w:color="auto"/>
              <w:right w:val="single" w:sz="12" w:space="0" w:color="auto"/>
            </w:tcBorders>
            <w:tcMar>
              <w:left w:w="58" w:type="dxa"/>
              <w:right w:w="58" w:type="dxa"/>
            </w:tcMar>
            <w:vAlign w:val="center"/>
            <w:hideMark/>
          </w:tcPr>
          <w:p w14:paraId="4C0C5D31" w14:textId="77777777" w:rsidR="00E465D0" w:rsidRPr="003003C4" w:rsidRDefault="00E465D0" w:rsidP="00302827">
            <w:pPr>
              <w:jc w:val="right"/>
              <w:rPr>
                <w:b/>
                <w:bCs/>
                <w:sz w:val="21"/>
                <w:szCs w:val="21"/>
              </w:rPr>
            </w:pPr>
            <w:r w:rsidRPr="003003C4">
              <w:rPr>
                <w:rFonts w:eastAsia="Calibri"/>
                <w:b/>
                <w:bCs/>
                <w:sz w:val="21"/>
                <w:szCs w:val="21"/>
              </w:rPr>
              <w:t>35.2</w:t>
            </w:r>
          </w:p>
        </w:tc>
        <w:tc>
          <w:tcPr>
            <w:tcW w:w="577" w:type="pct"/>
            <w:tcBorders>
              <w:top w:val="double" w:sz="4" w:space="0" w:color="auto"/>
              <w:left w:val="single" w:sz="12" w:space="0" w:color="auto"/>
              <w:bottom w:val="single" w:sz="4" w:space="0" w:color="auto"/>
              <w:right w:val="double" w:sz="4" w:space="0" w:color="auto"/>
            </w:tcBorders>
            <w:tcMar>
              <w:left w:w="58" w:type="dxa"/>
              <w:right w:w="58" w:type="dxa"/>
            </w:tcMar>
            <w:vAlign w:val="center"/>
            <w:hideMark/>
          </w:tcPr>
          <w:p w14:paraId="115FEF1B" w14:textId="77777777" w:rsidR="00E465D0" w:rsidRPr="003003C4" w:rsidRDefault="00E465D0" w:rsidP="00302827">
            <w:pPr>
              <w:jc w:val="right"/>
              <w:rPr>
                <w:b/>
                <w:sz w:val="21"/>
                <w:szCs w:val="21"/>
              </w:rPr>
            </w:pPr>
            <w:r w:rsidRPr="003003C4">
              <w:rPr>
                <w:b/>
                <w:sz w:val="21"/>
                <w:szCs w:val="21"/>
              </w:rPr>
              <w:t>100.0</w:t>
            </w:r>
          </w:p>
        </w:tc>
      </w:tr>
      <w:tr w:rsidR="003730C2" w:rsidRPr="003003C4" w14:paraId="42039C76" w14:textId="77777777" w:rsidTr="003730C2">
        <w:tc>
          <w:tcPr>
            <w:tcW w:w="2135" w:type="pct"/>
            <w:gridSpan w:val="2"/>
            <w:vMerge/>
            <w:tcBorders>
              <w:top w:val="single" w:sz="18" w:space="0" w:color="auto"/>
              <w:left w:val="double" w:sz="4" w:space="0" w:color="auto"/>
              <w:bottom w:val="double" w:sz="4" w:space="0" w:color="auto"/>
              <w:right w:val="single" w:sz="12" w:space="0" w:color="auto"/>
            </w:tcBorders>
            <w:tcMar>
              <w:left w:w="58" w:type="dxa"/>
              <w:right w:w="58" w:type="dxa"/>
            </w:tcMar>
            <w:vAlign w:val="center"/>
            <w:hideMark/>
          </w:tcPr>
          <w:p w14:paraId="343BB87A" w14:textId="77777777" w:rsidR="00E465D0" w:rsidRPr="003003C4" w:rsidRDefault="00E465D0" w:rsidP="00302827">
            <w:pPr>
              <w:rPr>
                <w:b/>
                <w:sz w:val="21"/>
                <w:szCs w:val="21"/>
              </w:rPr>
            </w:pPr>
          </w:p>
        </w:tc>
        <w:tc>
          <w:tcPr>
            <w:tcW w:w="1144" w:type="pct"/>
            <w:gridSpan w:val="2"/>
            <w:tcBorders>
              <w:top w:val="single" w:sz="4" w:space="0" w:color="auto"/>
              <w:left w:val="single" w:sz="12" w:space="0" w:color="auto"/>
              <w:bottom w:val="double" w:sz="4" w:space="0" w:color="auto"/>
              <w:right w:val="single" w:sz="12" w:space="0" w:color="auto"/>
            </w:tcBorders>
            <w:tcMar>
              <w:left w:w="58" w:type="dxa"/>
              <w:right w:w="58" w:type="dxa"/>
            </w:tcMar>
            <w:vAlign w:val="center"/>
            <w:hideMark/>
          </w:tcPr>
          <w:p w14:paraId="72210193" w14:textId="77777777" w:rsidR="00E465D0" w:rsidRPr="003003C4" w:rsidRDefault="00E465D0" w:rsidP="00302827">
            <w:pPr>
              <w:rPr>
                <w:b/>
                <w:sz w:val="21"/>
                <w:szCs w:val="21"/>
              </w:rPr>
            </w:pPr>
            <w:r w:rsidRPr="003003C4">
              <w:rPr>
                <w:b/>
                <w:sz w:val="21"/>
                <w:szCs w:val="21"/>
              </w:rPr>
              <w:t>N</w:t>
            </w:r>
          </w:p>
        </w:tc>
        <w:tc>
          <w:tcPr>
            <w:tcW w:w="581" w:type="pct"/>
            <w:tcBorders>
              <w:top w:val="single" w:sz="4" w:space="0" w:color="auto"/>
              <w:left w:val="single" w:sz="12" w:space="0" w:color="auto"/>
              <w:bottom w:val="double" w:sz="4" w:space="0" w:color="auto"/>
              <w:right w:val="single" w:sz="4" w:space="0" w:color="auto"/>
            </w:tcBorders>
            <w:tcMar>
              <w:left w:w="58" w:type="dxa"/>
              <w:right w:w="58" w:type="dxa"/>
            </w:tcMar>
            <w:vAlign w:val="center"/>
            <w:hideMark/>
          </w:tcPr>
          <w:p w14:paraId="77465BC3" w14:textId="77777777" w:rsidR="00E465D0" w:rsidRPr="003003C4" w:rsidRDefault="00E465D0" w:rsidP="00302827">
            <w:pPr>
              <w:jc w:val="right"/>
              <w:rPr>
                <w:b/>
                <w:sz w:val="21"/>
                <w:szCs w:val="21"/>
              </w:rPr>
            </w:pPr>
            <w:r w:rsidRPr="003003C4">
              <w:rPr>
                <w:b/>
                <w:sz w:val="21"/>
                <w:szCs w:val="21"/>
              </w:rPr>
              <w:t>1246</w:t>
            </w:r>
          </w:p>
        </w:tc>
        <w:tc>
          <w:tcPr>
            <w:tcW w:w="563" w:type="pct"/>
            <w:tcBorders>
              <w:top w:val="single" w:sz="4" w:space="0" w:color="auto"/>
              <w:left w:val="single" w:sz="4" w:space="0" w:color="auto"/>
              <w:bottom w:val="double" w:sz="4" w:space="0" w:color="auto"/>
              <w:right w:val="single" w:sz="12" w:space="0" w:color="auto"/>
            </w:tcBorders>
            <w:tcMar>
              <w:left w:w="58" w:type="dxa"/>
              <w:right w:w="58" w:type="dxa"/>
            </w:tcMar>
            <w:vAlign w:val="center"/>
            <w:hideMark/>
          </w:tcPr>
          <w:p w14:paraId="613B2F50" w14:textId="77777777" w:rsidR="00E465D0" w:rsidRPr="003003C4" w:rsidRDefault="00E465D0" w:rsidP="00302827">
            <w:pPr>
              <w:jc w:val="right"/>
              <w:rPr>
                <w:b/>
                <w:sz w:val="21"/>
                <w:szCs w:val="21"/>
              </w:rPr>
            </w:pPr>
            <w:r w:rsidRPr="003003C4">
              <w:rPr>
                <w:b/>
                <w:sz w:val="21"/>
                <w:szCs w:val="21"/>
              </w:rPr>
              <w:t>676</w:t>
            </w:r>
          </w:p>
        </w:tc>
        <w:tc>
          <w:tcPr>
            <w:tcW w:w="577" w:type="pct"/>
            <w:tcBorders>
              <w:top w:val="single" w:sz="4" w:space="0" w:color="auto"/>
              <w:left w:val="single" w:sz="12" w:space="0" w:color="auto"/>
              <w:bottom w:val="double" w:sz="4" w:space="0" w:color="auto"/>
              <w:right w:val="double" w:sz="4" w:space="0" w:color="auto"/>
            </w:tcBorders>
            <w:tcMar>
              <w:left w:w="58" w:type="dxa"/>
              <w:right w:w="58" w:type="dxa"/>
            </w:tcMar>
            <w:vAlign w:val="center"/>
            <w:hideMark/>
          </w:tcPr>
          <w:p w14:paraId="36930A6C" w14:textId="77777777" w:rsidR="00E465D0" w:rsidRPr="003003C4" w:rsidRDefault="00E465D0" w:rsidP="00302827">
            <w:pPr>
              <w:jc w:val="right"/>
              <w:rPr>
                <w:b/>
                <w:sz w:val="21"/>
                <w:szCs w:val="21"/>
              </w:rPr>
            </w:pPr>
            <w:r w:rsidRPr="003003C4">
              <w:rPr>
                <w:b/>
                <w:sz w:val="21"/>
                <w:szCs w:val="21"/>
              </w:rPr>
              <w:t>1920</w:t>
            </w:r>
          </w:p>
        </w:tc>
      </w:tr>
    </w:tbl>
    <w:p w14:paraId="1F9642CC" w14:textId="77777777" w:rsidR="00E465D0" w:rsidRPr="003003C4" w:rsidRDefault="00E465D0" w:rsidP="003003C4">
      <w:pPr>
        <w:spacing w:after="0"/>
        <w:ind w:left="360" w:hanging="270"/>
        <w:rPr>
          <w:sz w:val="20"/>
          <w:szCs w:val="20"/>
        </w:rPr>
      </w:pPr>
      <w:r w:rsidRPr="003003C4">
        <w:rPr>
          <w:sz w:val="20"/>
          <w:szCs w:val="20"/>
        </w:rPr>
        <w:t>NW: Nonwork Travel; TW: Telework Frequency</w:t>
      </w:r>
    </w:p>
    <w:p w14:paraId="628D3D1C" w14:textId="77777777" w:rsidR="00E465D0" w:rsidRPr="003003C4" w:rsidRDefault="00E465D0" w:rsidP="003003C4">
      <w:pPr>
        <w:spacing w:after="0"/>
        <w:ind w:left="360" w:hanging="270"/>
        <w:rPr>
          <w:sz w:val="20"/>
          <w:szCs w:val="20"/>
        </w:rPr>
      </w:pPr>
      <w:r w:rsidRPr="003003C4">
        <w:rPr>
          <w:sz w:val="20"/>
          <w:szCs w:val="20"/>
        </w:rPr>
        <w:t>*We include non-binary individuals in the male category, as the combination was used for the base relative to female workers in our model</w:t>
      </w:r>
    </w:p>
    <w:p w14:paraId="60A617BB" w14:textId="35B48026" w:rsidR="002248E4" w:rsidRPr="003003C4" w:rsidRDefault="00E465D0" w:rsidP="003003C4">
      <w:pPr>
        <w:spacing w:after="0"/>
        <w:ind w:left="360" w:hanging="270"/>
        <w:rPr>
          <w:sz w:val="20"/>
          <w:szCs w:val="20"/>
        </w:rPr>
      </w:pPr>
      <w:r w:rsidRPr="003003C4">
        <w:rPr>
          <w:sz w:val="20"/>
          <w:szCs w:val="20"/>
        </w:rPr>
        <w:t>**We did not include the individual segment profiles for all household structures, as the ones excluded were all fairly equivalent to the overall sample and segment size across all metrics (as the “lives with a partner” structure is). Household structures under the term “other” include: lives with partner with no children, live with parents, lives alone, and live with unrelated roommates.</w:t>
      </w:r>
    </w:p>
    <w:p w14:paraId="489E726F" w14:textId="7A84FB8C" w:rsidR="002248E4" w:rsidRPr="00E465D0" w:rsidRDefault="00E465D0" w:rsidP="00E465D0">
      <w:pPr>
        <w:jc w:val="left"/>
      </w:pPr>
      <w:r w:rsidRPr="00E465D0">
        <w:br w:type="page"/>
      </w:r>
    </w:p>
    <w:p w14:paraId="206852D7" w14:textId="33203C25" w:rsidR="00E465D0" w:rsidRPr="00E465D0" w:rsidRDefault="00E465D0" w:rsidP="005D4542">
      <w:pPr>
        <w:pStyle w:val="Caption"/>
        <w:spacing w:after="0"/>
      </w:pPr>
      <w:r w:rsidRPr="00E465D0">
        <w:rPr>
          <w:sz w:val="24"/>
          <w:szCs w:val="24"/>
        </w:rPr>
        <w:lastRenderedPageBreak/>
        <w:t>Table 7. Goodness-of-Fit Statistics</w:t>
      </w:r>
    </w:p>
    <w:tbl>
      <w:tblPr>
        <w:tblW w:w="9710" w:type="dxa"/>
        <w:tblInd w:w="-5" w:type="dxa"/>
        <w:tblLayout w:type="fixed"/>
        <w:tblLook w:val="04A0" w:firstRow="1" w:lastRow="0" w:firstColumn="1" w:lastColumn="0" w:noHBand="0" w:noVBand="1"/>
      </w:tblPr>
      <w:tblGrid>
        <w:gridCol w:w="2240"/>
        <w:gridCol w:w="1119"/>
        <w:gridCol w:w="1221"/>
        <w:gridCol w:w="990"/>
        <w:gridCol w:w="1391"/>
        <w:gridCol w:w="1399"/>
        <w:gridCol w:w="1350"/>
      </w:tblGrid>
      <w:tr w:rsidR="00E465D0" w:rsidRPr="003730C2" w14:paraId="37B2B26F" w14:textId="77777777" w:rsidTr="005D4542">
        <w:trPr>
          <w:trHeight w:val="144"/>
        </w:trPr>
        <w:tc>
          <w:tcPr>
            <w:tcW w:w="5570" w:type="dxa"/>
            <w:gridSpan w:val="4"/>
            <w:tcBorders>
              <w:top w:val="doub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5D3ECEFB" w14:textId="77777777" w:rsidR="00E465D0" w:rsidRPr="003730C2" w:rsidRDefault="00E465D0" w:rsidP="00302827">
            <w:pPr>
              <w:spacing w:after="0"/>
              <w:rPr>
                <w:rFonts w:eastAsia="Times New Roman"/>
                <w:b/>
                <w:bCs/>
                <w:color w:val="000000"/>
                <w:sz w:val="20"/>
                <w:szCs w:val="20"/>
              </w:rPr>
            </w:pPr>
            <w:r w:rsidRPr="003730C2">
              <w:rPr>
                <w:sz w:val="20"/>
                <w:szCs w:val="20"/>
              </w:rPr>
              <w:br w:type="page"/>
            </w:r>
            <w:r w:rsidRPr="003730C2">
              <w:rPr>
                <w:rFonts w:eastAsia="Times New Roman"/>
                <w:b/>
                <w:bCs/>
                <w:color w:val="000000"/>
                <w:sz w:val="20"/>
                <w:szCs w:val="20"/>
              </w:rPr>
              <w:t>Metric</w:t>
            </w:r>
          </w:p>
        </w:tc>
        <w:tc>
          <w:tcPr>
            <w:tcW w:w="1391" w:type="dxa"/>
            <w:tcBorders>
              <w:top w:val="double" w:sz="4" w:space="0" w:color="auto"/>
              <w:left w:val="nil"/>
              <w:bottom w:val="double" w:sz="4" w:space="0" w:color="auto"/>
              <w:right w:val="single" w:sz="4" w:space="0" w:color="auto"/>
            </w:tcBorders>
            <w:shd w:val="clear" w:color="auto" w:fill="auto"/>
            <w:noWrap/>
            <w:tcMar>
              <w:left w:w="43" w:type="dxa"/>
              <w:right w:w="43" w:type="dxa"/>
            </w:tcMar>
            <w:vAlign w:val="center"/>
            <w:hideMark/>
          </w:tcPr>
          <w:p w14:paraId="4D975AF5" w14:textId="2A90D3E4" w:rsidR="00E465D0" w:rsidRPr="003730C2" w:rsidRDefault="00E465D0" w:rsidP="00302827">
            <w:pPr>
              <w:spacing w:after="0"/>
              <w:jc w:val="center"/>
              <w:rPr>
                <w:rFonts w:eastAsia="Times New Roman"/>
                <w:b/>
                <w:bCs/>
                <w:color w:val="000000"/>
                <w:sz w:val="20"/>
                <w:szCs w:val="20"/>
              </w:rPr>
            </w:pPr>
            <w:r w:rsidRPr="003730C2">
              <w:rPr>
                <w:rFonts w:eastAsia="Times New Roman"/>
                <w:b/>
                <w:bCs/>
                <w:color w:val="000000"/>
                <w:sz w:val="20"/>
                <w:szCs w:val="20"/>
              </w:rPr>
              <w:t xml:space="preserve">Proposed Joint </w:t>
            </w:r>
            <w:r w:rsidR="005D4542">
              <w:rPr>
                <w:rFonts w:eastAsia="Times New Roman"/>
                <w:b/>
                <w:bCs/>
                <w:color w:val="000000"/>
                <w:sz w:val="20"/>
                <w:szCs w:val="20"/>
              </w:rPr>
              <w:t>M</w:t>
            </w:r>
            <w:r w:rsidRPr="003730C2">
              <w:rPr>
                <w:rFonts w:eastAsia="Times New Roman"/>
                <w:b/>
                <w:bCs/>
                <w:color w:val="000000"/>
                <w:sz w:val="20"/>
                <w:szCs w:val="20"/>
              </w:rPr>
              <w:t>odel</w:t>
            </w:r>
          </w:p>
        </w:tc>
        <w:tc>
          <w:tcPr>
            <w:tcW w:w="1399" w:type="dxa"/>
            <w:tcBorders>
              <w:top w:val="double" w:sz="4" w:space="0" w:color="auto"/>
              <w:left w:val="nil"/>
              <w:bottom w:val="double" w:sz="4" w:space="0" w:color="auto"/>
              <w:right w:val="single" w:sz="4" w:space="0" w:color="auto"/>
            </w:tcBorders>
            <w:shd w:val="clear" w:color="auto" w:fill="auto"/>
            <w:noWrap/>
            <w:tcMar>
              <w:left w:w="43" w:type="dxa"/>
              <w:right w:w="43" w:type="dxa"/>
            </w:tcMar>
            <w:vAlign w:val="center"/>
            <w:hideMark/>
          </w:tcPr>
          <w:p w14:paraId="428958CC" w14:textId="77777777" w:rsidR="00E465D0" w:rsidRPr="003730C2" w:rsidRDefault="00E465D0" w:rsidP="00302827">
            <w:pPr>
              <w:spacing w:after="0"/>
              <w:jc w:val="center"/>
              <w:rPr>
                <w:rFonts w:eastAsia="Times New Roman"/>
                <w:b/>
                <w:bCs/>
                <w:color w:val="000000"/>
                <w:sz w:val="20"/>
                <w:szCs w:val="20"/>
              </w:rPr>
            </w:pPr>
            <w:r w:rsidRPr="003730C2">
              <w:rPr>
                <w:rFonts w:eastAsia="Times New Roman"/>
                <w:b/>
                <w:bCs/>
                <w:color w:val="000000"/>
                <w:sz w:val="20"/>
                <w:szCs w:val="20"/>
              </w:rPr>
              <w:t>NT “Player” Model</w:t>
            </w:r>
          </w:p>
        </w:tc>
        <w:tc>
          <w:tcPr>
            <w:tcW w:w="1350" w:type="dxa"/>
            <w:tcBorders>
              <w:top w:val="double" w:sz="4" w:space="0" w:color="auto"/>
              <w:left w:val="single" w:sz="4" w:space="0" w:color="auto"/>
              <w:bottom w:val="double" w:sz="4" w:space="0" w:color="auto"/>
              <w:right w:val="double" w:sz="4" w:space="0" w:color="auto"/>
            </w:tcBorders>
            <w:tcMar>
              <w:left w:w="43" w:type="dxa"/>
              <w:right w:w="43" w:type="dxa"/>
            </w:tcMar>
          </w:tcPr>
          <w:p w14:paraId="2A206440" w14:textId="77777777" w:rsidR="00E465D0" w:rsidRPr="003730C2" w:rsidRDefault="00E465D0" w:rsidP="00302827">
            <w:pPr>
              <w:spacing w:after="0"/>
              <w:jc w:val="center"/>
              <w:rPr>
                <w:rFonts w:eastAsia="Times New Roman"/>
                <w:b/>
                <w:bCs/>
                <w:color w:val="000000"/>
                <w:sz w:val="20"/>
                <w:szCs w:val="20"/>
              </w:rPr>
            </w:pPr>
            <w:r w:rsidRPr="003730C2">
              <w:rPr>
                <w:rFonts w:eastAsia="Times New Roman"/>
                <w:b/>
                <w:bCs/>
                <w:color w:val="000000"/>
                <w:sz w:val="20"/>
                <w:szCs w:val="20"/>
              </w:rPr>
              <w:t>TN “Worker” Model</w:t>
            </w:r>
          </w:p>
        </w:tc>
      </w:tr>
      <w:tr w:rsidR="00E465D0" w:rsidRPr="003730C2" w14:paraId="495F4828" w14:textId="77777777" w:rsidTr="005D4542">
        <w:trPr>
          <w:trHeight w:val="144"/>
        </w:trPr>
        <w:tc>
          <w:tcPr>
            <w:tcW w:w="9710" w:type="dxa"/>
            <w:gridSpan w:val="7"/>
            <w:tcBorders>
              <w:top w:val="double" w:sz="4" w:space="0" w:color="auto"/>
              <w:left w:val="double" w:sz="4" w:space="0" w:color="auto"/>
              <w:bottom w:val="single" w:sz="4" w:space="0" w:color="auto"/>
              <w:right w:val="double" w:sz="4" w:space="0" w:color="auto"/>
            </w:tcBorders>
            <w:shd w:val="clear" w:color="auto" w:fill="auto"/>
            <w:noWrap/>
            <w:tcMar>
              <w:left w:w="43" w:type="dxa"/>
              <w:right w:w="43" w:type="dxa"/>
            </w:tcMar>
            <w:vAlign w:val="center"/>
            <w:hideMark/>
          </w:tcPr>
          <w:p w14:paraId="5D74153A" w14:textId="279F8825" w:rsidR="00E465D0" w:rsidRPr="003730C2" w:rsidRDefault="00E465D0" w:rsidP="00302827">
            <w:pPr>
              <w:spacing w:after="0"/>
              <w:jc w:val="center"/>
              <w:rPr>
                <w:rFonts w:eastAsia="Times New Roman"/>
                <w:b/>
                <w:bCs/>
                <w:i/>
                <w:color w:val="000000"/>
                <w:sz w:val="20"/>
                <w:szCs w:val="20"/>
              </w:rPr>
            </w:pPr>
            <w:r w:rsidRPr="003730C2">
              <w:rPr>
                <w:rFonts w:eastAsia="Times New Roman"/>
                <w:b/>
                <w:bCs/>
                <w:i/>
                <w:color w:val="000000"/>
                <w:sz w:val="20"/>
                <w:szCs w:val="20"/>
              </w:rPr>
              <w:t xml:space="preserve">Disaggregate </w:t>
            </w:r>
            <w:r w:rsidR="003730C2" w:rsidRPr="003730C2">
              <w:rPr>
                <w:rFonts w:eastAsia="Times New Roman"/>
                <w:b/>
                <w:bCs/>
                <w:i/>
                <w:color w:val="000000"/>
                <w:sz w:val="20"/>
                <w:szCs w:val="20"/>
              </w:rPr>
              <w:t>F</w:t>
            </w:r>
            <w:r w:rsidRPr="003730C2">
              <w:rPr>
                <w:rFonts w:eastAsia="Times New Roman"/>
                <w:b/>
                <w:bCs/>
                <w:i/>
                <w:color w:val="000000"/>
                <w:sz w:val="20"/>
                <w:szCs w:val="20"/>
              </w:rPr>
              <w:t xml:space="preserve">it </w:t>
            </w:r>
            <w:r w:rsidR="003730C2" w:rsidRPr="003730C2">
              <w:rPr>
                <w:rFonts w:eastAsia="Times New Roman"/>
                <w:b/>
                <w:bCs/>
                <w:i/>
                <w:color w:val="000000"/>
                <w:sz w:val="20"/>
                <w:szCs w:val="20"/>
              </w:rPr>
              <w:t>M</w:t>
            </w:r>
            <w:r w:rsidRPr="003730C2">
              <w:rPr>
                <w:rFonts w:eastAsia="Times New Roman"/>
                <w:b/>
                <w:bCs/>
                <w:i/>
                <w:color w:val="000000"/>
                <w:sz w:val="20"/>
                <w:szCs w:val="20"/>
              </w:rPr>
              <w:t>easures</w:t>
            </w:r>
          </w:p>
        </w:tc>
      </w:tr>
      <w:tr w:rsidR="008649C5" w:rsidRPr="003730C2" w14:paraId="4EAD3F70" w14:textId="77777777" w:rsidTr="005D4542">
        <w:trPr>
          <w:trHeight w:val="144"/>
        </w:trPr>
        <w:tc>
          <w:tcPr>
            <w:tcW w:w="5570" w:type="dxa"/>
            <w:gridSpan w:val="4"/>
            <w:tcBorders>
              <w:top w:val="single" w:sz="4" w:space="0" w:color="auto"/>
              <w:left w:val="double" w:sz="4" w:space="0" w:color="auto"/>
              <w:bottom w:val="single" w:sz="4" w:space="0" w:color="auto"/>
              <w:right w:val="single" w:sz="4" w:space="0" w:color="auto"/>
            </w:tcBorders>
            <w:shd w:val="clear" w:color="auto" w:fill="auto"/>
            <w:noWrap/>
            <w:tcMar>
              <w:left w:w="43" w:type="dxa"/>
              <w:right w:w="43" w:type="dxa"/>
            </w:tcMar>
            <w:vAlign w:val="bottom"/>
            <w:hideMark/>
          </w:tcPr>
          <w:p w14:paraId="67600A8F" w14:textId="77777777" w:rsidR="00E465D0" w:rsidRPr="003730C2" w:rsidRDefault="00E465D0" w:rsidP="003730C2">
            <w:pPr>
              <w:spacing w:after="0"/>
              <w:ind w:left="150" w:hanging="150"/>
              <w:jc w:val="left"/>
              <w:rPr>
                <w:rFonts w:eastAsia="Times New Roman"/>
                <w:color w:val="000000"/>
                <w:sz w:val="20"/>
                <w:szCs w:val="20"/>
              </w:rPr>
            </w:pPr>
            <w:r w:rsidRPr="003730C2">
              <w:rPr>
                <w:rFonts w:eastAsia="Times New Roman"/>
                <w:color w:val="000000"/>
                <w:sz w:val="20"/>
                <w:szCs w:val="20"/>
              </w:rPr>
              <w:t>Log likelihood at convergence</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A81FC98" w14:textId="77777777" w:rsidR="00E465D0" w:rsidRPr="003730C2" w:rsidRDefault="00E465D0" w:rsidP="00302827">
            <w:pPr>
              <w:spacing w:after="0"/>
              <w:jc w:val="right"/>
              <w:rPr>
                <w:rFonts w:eastAsia="Times New Roman"/>
                <w:sz w:val="20"/>
                <w:szCs w:val="20"/>
              </w:rPr>
            </w:pPr>
            <w:r w:rsidRPr="003730C2">
              <w:rPr>
                <w:sz w:val="20"/>
                <w:szCs w:val="20"/>
              </w:rPr>
              <w:t>-12633.753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7C43B99" w14:textId="77777777" w:rsidR="00E465D0" w:rsidRPr="003730C2" w:rsidRDefault="00E465D0" w:rsidP="00302827">
            <w:pPr>
              <w:spacing w:after="0"/>
              <w:jc w:val="right"/>
              <w:rPr>
                <w:rFonts w:eastAsia="Times New Roman"/>
                <w:sz w:val="20"/>
                <w:szCs w:val="20"/>
              </w:rPr>
            </w:pPr>
            <w:r w:rsidRPr="003730C2">
              <w:rPr>
                <w:sz w:val="20"/>
                <w:szCs w:val="20"/>
              </w:rPr>
              <w:t>-12681.830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E2F1108" w14:textId="77777777" w:rsidR="00E465D0" w:rsidRPr="003730C2" w:rsidRDefault="00E465D0" w:rsidP="00302827">
            <w:pPr>
              <w:spacing w:after="0"/>
              <w:jc w:val="right"/>
              <w:rPr>
                <w:rFonts w:eastAsia="Times New Roman"/>
                <w:sz w:val="20"/>
                <w:szCs w:val="20"/>
              </w:rPr>
            </w:pPr>
            <w:r w:rsidRPr="003730C2">
              <w:rPr>
                <w:sz w:val="20"/>
                <w:szCs w:val="20"/>
              </w:rPr>
              <w:t>-12682.368</w:t>
            </w:r>
          </w:p>
        </w:tc>
      </w:tr>
      <w:tr w:rsidR="008649C5" w:rsidRPr="003730C2" w14:paraId="27508BB8" w14:textId="77777777" w:rsidTr="005D4542">
        <w:trPr>
          <w:trHeight w:val="144"/>
        </w:trPr>
        <w:tc>
          <w:tcPr>
            <w:tcW w:w="5570" w:type="dxa"/>
            <w:gridSpan w:val="4"/>
            <w:tcBorders>
              <w:top w:val="single" w:sz="4" w:space="0" w:color="auto"/>
              <w:left w:val="double" w:sz="4" w:space="0" w:color="auto"/>
              <w:bottom w:val="single" w:sz="4" w:space="0" w:color="auto"/>
              <w:right w:val="single" w:sz="4" w:space="0" w:color="auto"/>
            </w:tcBorders>
            <w:shd w:val="clear" w:color="auto" w:fill="auto"/>
            <w:noWrap/>
            <w:tcMar>
              <w:left w:w="43" w:type="dxa"/>
              <w:right w:w="43" w:type="dxa"/>
            </w:tcMar>
            <w:vAlign w:val="bottom"/>
            <w:hideMark/>
          </w:tcPr>
          <w:p w14:paraId="67679C3A" w14:textId="77777777" w:rsidR="00E465D0" w:rsidRPr="003730C2" w:rsidRDefault="00E465D0" w:rsidP="003730C2">
            <w:pPr>
              <w:spacing w:after="0"/>
              <w:ind w:left="150" w:hanging="150"/>
              <w:jc w:val="left"/>
              <w:rPr>
                <w:rFonts w:eastAsia="Times New Roman"/>
                <w:color w:val="000000"/>
                <w:sz w:val="20"/>
                <w:szCs w:val="20"/>
              </w:rPr>
            </w:pPr>
            <w:r w:rsidRPr="003730C2">
              <w:rPr>
                <w:rFonts w:eastAsia="Times New Roman"/>
                <w:color w:val="000000"/>
                <w:sz w:val="20"/>
                <w:szCs w:val="20"/>
              </w:rPr>
              <w:t>No. of non-constant/threshold parameters</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CE15688" w14:textId="4B906A9E" w:rsidR="00E465D0" w:rsidRPr="003730C2" w:rsidRDefault="002248E4" w:rsidP="00302827">
            <w:pPr>
              <w:spacing w:after="0"/>
              <w:jc w:val="right"/>
              <w:rPr>
                <w:rFonts w:eastAsia="Times New Roman"/>
                <w:sz w:val="20"/>
                <w:szCs w:val="20"/>
              </w:rPr>
            </w:pPr>
            <w:r w:rsidRPr="003730C2">
              <w:rPr>
                <w:sz w:val="20"/>
                <w:szCs w:val="20"/>
              </w:rPr>
              <w:t>33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BC163BE" w14:textId="42D33D17" w:rsidR="00E465D0" w:rsidRPr="003730C2" w:rsidRDefault="00E465D0" w:rsidP="00302827">
            <w:pPr>
              <w:spacing w:after="0"/>
              <w:jc w:val="right"/>
              <w:rPr>
                <w:rFonts w:eastAsia="Times New Roman"/>
                <w:sz w:val="20"/>
                <w:szCs w:val="20"/>
              </w:rPr>
            </w:pPr>
            <w:r w:rsidRPr="003730C2">
              <w:rPr>
                <w:sz w:val="20"/>
                <w:szCs w:val="20"/>
              </w:rPr>
              <w:t>2</w:t>
            </w:r>
            <w:r w:rsidR="00C83365" w:rsidRPr="003730C2">
              <w:rPr>
                <w:sz w:val="20"/>
                <w:szCs w:val="20"/>
              </w:rPr>
              <w:t>4</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051C3CAE" w14:textId="4C791653" w:rsidR="00E465D0" w:rsidRPr="003730C2" w:rsidRDefault="00E465D0" w:rsidP="00302827">
            <w:pPr>
              <w:spacing w:after="0"/>
              <w:jc w:val="right"/>
              <w:rPr>
                <w:rFonts w:eastAsia="Times New Roman"/>
                <w:sz w:val="20"/>
                <w:szCs w:val="20"/>
              </w:rPr>
            </w:pPr>
            <w:r w:rsidRPr="003730C2">
              <w:rPr>
                <w:sz w:val="20"/>
                <w:szCs w:val="20"/>
              </w:rPr>
              <w:t>2</w:t>
            </w:r>
            <w:r w:rsidR="00C83365" w:rsidRPr="003730C2">
              <w:rPr>
                <w:sz w:val="20"/>
                <w:szCs w:val="20"/>
              </w:rPr>
              <w:t>4</w:t>
            </w:r>
          </w:p>
        </w:tc>
      </w:tr>
      <w:tr w:rsidR="008649C5" w:rsidRPr="003730C2" w14:paraId="0526CAA5" w14:textId="77777777" w:rsidTr="005D4542">
        <w:trPr>
          <w:trHeight w:val="144"/>
        </w:trPr>
        <w:tc>
          <w:tcPr>
            <w:tcW w:w="5570" w:type="dxa"/>
            <w:gridSpan w:val="4"/>
            <w:tcBorders>
              <w:top w:val="single" w:sz="4" w:space="0" w:color="auto"/>
              <w:left w:val="double" w:sz="4" w:space="0" w:color="auto"/>
              <w:bottom w:val="single" w:sz="4" w:space="0" w:color="auto"/>
              <w:right w:val="single" w:sz="4" w:space="0" w:color="auto"/>
            </w:tcBorders>
            <w:shd w:val="clear" w:color="auto" w:fill="auto"/>
            <w:noWrap/>
            <w:tcMar>
              <w:left w:w="43" w:type="dxa"/>
              <w:right w:w="43" w:type="dxa"/>
            </w:tcMar>
            <w:vAlign w:val="bottom"/>
            <w:hideMark/>
          </w:tcPr>
          <w:p w14:paraId="580CE7A3" w14:textId="77777777" w:rsidR="00E465D0" w:rsidRPr="003730C2" w:rsidRDefault="00E465D0" w:rsidP="003730C2">
            <w:pPr>
              <w:spacing w:after="0"/>
              <w:ind w:left="150" w:hanging="150"/>
              <w:jc w:val="left"/>
              <w:rPr>
                <w:rFonts w:eastAsia="Times New Roman"/>
                <w:color w:val="000000"/>
                <w:sz w:val="20"/>
                <w:szCs w:val="20"/>
              </w:rPr>
            </w:pPr>
            <w:r w:rsidRPr="003730C2">
              <w:rPr>
                <w:rFonts w:eastAsia="Times New Roman"/>
                <w:color w:val="000000"/>
                <w:sz w:val="20"/>
                <w:szCs w:val="20"/>
              </w:rPr>
              <w:t xml:space="preserve">Log likelihood at constants/thresholds only </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21F313C" w14:textId="77777777" w:rsidR="00E465D0" w:rsidRPr="003730C2" w:rsidRDefault="00E465D0" w:rsidP="00302827">
            <w:pPr>
              <w:spacing w:after="0"/>
              <w:jc w:val="right"/>
              <w:rPr>
                <w:rFonts w:eastAsia="Times New Roman"/>
                <w:sz w:val="20"/>
                <w:szCs w:val="20"/>
              </w:rPr>
            </w:pPr>
            <w:r w:rsidRPr="003730C2">
              <w:rPr>
                <w:sz w:val="20"/>
                <w:szCs w:val="20"/>
              </w:rPr>
              <w:t>-12902.342</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1B0762F" w14:textId="77777777" w:rsidR="00E465D0" w:rsidRPr="003730C2" w:rsidRDefault="00E465D0" w:rsidP="00302827">
            <w:pPr>
              <w:spacing w:after="0"/>
              <w:jc w:val="right"/>
              <w:rPr>
                <w:rFonts w:eastAsia="Times New Roman"/>
                <w:sz w:val="20"/>
                <w:szCs w:val="20"/>
              </w:rPr>
            </w:pPr>
            <w:r w:rsidRPr="003730C2">
              <w:rPr>
                <w:sz w:val="20"/>
                <w:szCs w:val="20"/>
              </w:rPr>
              <w:t>-12902.342</w:t>
            </w:r>
          </w:p>
        </w:tc>
        <w:tc>
          <w:tcPr>
            <w:tcW w:w="1350" w:type="dxa"/>
            <w:tcBorders>
              <w:top w:val="nil"/>
              <w:left w:val="single" w:sz="4" w:space="0" w:color="auto"/>
              <w:bottom w:val="single" w:sz="4" w:space="0" w:color="auto"/>
              <w:right w:val="double" w:sz="4" w:space="0" w:color="auto"/>
            </w:tcBorders>
            <w:tcMar>
              <w:left w:w="43" w:type="dxa"/>
              <w:right w:w="43" w:type="dxa"/>
            </w:tcMar>
          </w:tcPr>
          <w:p w14:paraId="69B2A312" w14:textId="77777777" w:rsidR="00E465D0" w:rsidRPr="003730C2" w:rsidRDefault="00E465D0" w:rsidP="00302827">
            <w:pPr>
              <w:spacing w:after="0"/>
              <w:jc w:val="right"/>
              <w:rPr>
                <w:rFonts w:eastAsia="Times New Roman"/>
                <w:sz w:val="20"/>
                <w:szCs w:val="20"/>
              </w:rPr>
            </w:pPr>
            <w:r w:rsidRPr="003730C2">
              <w:rPr>
                <w:sz w:val="20"/>
                <w:szCs w:val="20"/>
              </w:rPr>
              <w:t>-12902.342</w:t>
            </w:r>
          </w:p>
        </w:tc>
      </w:tr>
      <w:tr w:rsidR="008649C5" w:rsidRPr="003730C2" w14:paraId="0FA5BF0A" w14:textId="77777777" w:rsidTr="005D4542">
        <w:trPr>
          <w:trHeight w:val="144"/>
        </w:trPr>
        <w:tc>
          <w:tcPr>
            <w:tcW w:w="5570" w:type="dxa"/>
            <w:gridSpan w:val="4"/>
            <w:tcBorders>
              <w:top w:val="single" w:sz="4" w:space="0" w:color="auto"/>
              <w:left w:val="double" w:sz="4" w:space="0" w:color="auto"/>
              <w:bottom w:val="single" w:sz="4" w:space="0" w:color="auto"/>
              <w:right w:val="single" w:sz="4" w:space="0" w:color="auto"/>
            </w:tcBorders>
            <w:shd w:val="clear" w:color="auto" w:fill="auto"/>
            <w:noWrap/>
            <w:tcMar>
              <w:left w:w="43" w:type="dxa"/>
              <w:right w:w="43" w:type="dxa"/>
            </w:tcMar>
            <w:vAlign w:val="bottom"/>
            <w:hideMark/>
          </w:tcPr>
          <w:p w14:paraId="3C38D75C" w14:textId="77777777" w:rsidR="00E465D0" w:rsidRPr="003730C2" w:rsidRDefault="00E465D0" w:rsidP="003730C2">
            <w:pPr>
              <w:spacing w:after="0"/>
              <w:ind w:left="150" w:hanging="150"/>
              <w:jc w:val="left"/>
              <w:rPr>
                <w:rFonts w:eastAsia="Times New Roman"/>
                <w:color w:val="000000"/>
                <w:sz w:val="20"/>
                <w:szCs w:val="20"/>
              </w:rPr>
            </w:pPr>
            <w:r w:rsidRPr="003730C2">
              <w:rPr>
                <w:rFonts w:eastAsia="Times New Roman"/>
                <w:color w:val="000000"/>
                <w:sz w:val="20"/>
                <w:szCs w:val="20"/>
              </w:rPr>
              <w:t>Adjusted rho-squared value</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BAABFD5" w14:textId="5D79D5AC" w:rsidR="00E465D0" w:rsidRPr="003730C2" w:rsidRDefault="00E465D0" w:rsidP="00302827">
            <w:pPr>
              <w:spacing w:after="0"/>
              <w:jc w:val="right"/>
              <w:rPr>
                <w:rFonts w:eastAsia="Times New Roman"/>
                <w:sz w:val="20"/>
                <w:szCs w:val="20"/>
              </w:rPr>
            </w:pPr>
            <w:r w:rsidRPr="003730C2">
              <w:rPr>
                <w:sz w:val="20"/>
                <w:szCs w:val="20"/>
              </w:rPr>
              <w:t>0.018</w:t>
            </w:r>
            <w:r w:rsidR="005A42FD" w:rsidRPr="003730C2">
              <w:rPr>
                <w:sz w:val="20"/>
                <w:szCs w:val="20"/>
              </w:rPr>
              <w:t>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08E3F4D" w14:textId="2607079F" w:rsidR="00E465D0" w:rsidRPr="003730C2" w:rsidRDefault="00E465D0" w:rsidP="00302827">
            <w:pPr>
              <w:spacing w:after="0"/>
              <w:jc w:val="right"/>
              <w:rPr>
                <w:rFonts w:eastAsia="Times New Roman"/>
                <w:sz w:val="20"/>
                <w:szCs w:val="20"/>
              </w:rPr>
            </w:pPr>
            <w:r w:rsidRPr="003730C2">
              <w:rPr>
                <w:sz w:val="20"/>
                <w:szCs w:val="20"/>
              </w:rPr>
              <w:t>0.015</w:t>
            </w:r>
            <w:r w:rsidR="005A42FD" w:rsidRPr="003730C2">
              <w:rPr>
                <w:sz w:val="20"/>
                <w:szCs w:val="20"/>
              </w:rPr>
              <w:t>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C1F1642" w14:textId="76BC13F5" w:rsidR="00E465D0" w:rsidRPr="003730C2" w:rsidRDefault="00E465D0" w:rsidP="00302827">
            <w:pPr>
              <w:spacing w:after="0"/>
              <w:jc w:val="right"/>
              <w:rPr>
                <w:rFonts w:eastAsia="Times New Roman"/>
                <w:sz w:val="20"/>
                <w:szCs w:val="20"/>
              </w:rPr>
            </w:pPr>
            <w:r w:rsidRPr="003730C2">
              <w:rPr>
                <w:sz w:val="20"/>
                <w:szCs w:val="20"/>
              </w:rPr>
              <w:t>0.015</w:t>
            </w:r>
            <w:r w:rsidR="005A42FD" w:rsidRPr="003730C2">
              <w:rPr>
                <w:sz w:val="20"/>
                <w:szCs w:val="20"/>
              </w:rPr>
              <w:t>3</w:t>
            </w:r>
          </w:p>
        </w:tc>
      </w:tr>
      <w:tr w:rsidR="008649C5" w:rsidRPr="003730C2" w14:paraId="4639A767" w14:textId="77777777" w:rsidTr="005D4542">
        <w:trPr>
          <w:trHeight w:val="144"/>
        </w:trPr>
        <w:tc>
          <w:tcPr>
            <w:tcW w:w="5570" w:type="dxa"/>
            <w:gridSpan w:val="4"/>
            <w:tcBorders>
              <w:top w:val="single" w:sz="4" w:space="0" w:color="auto"/>
              <w:left w:val="double" w:sz="4" w:space="0" w:color="auto"/>
              <w:bottom w:val="single" w:sz="4" w:space="0" w:color="auto"/>
              <w:right w:val="single" w:sz="4" w:space="0" w:color="auto"/>
            </w:tcBorders>
            <w:shd w:val="clear" w:color="auto" w:fill="auto"/>
            <w:noWrap/>
            <w:tcMar>
              <w:left w:w="43" w:type="dxa"/>
              <w:right w:w="43" w:type="dxa"/>
            </w:tcMar>
            <w:hideMark/>
          </w:tcPr>
          <w:p w14:paraId="649EAD09" w14:textId="77777777" w:rsidR="00E465D0" w:rsidRPr="003730C2" w:rsidRDefault="00E465D0" w:rsidP="003730C2">
            <w:pPr>
              <w:spacing w:after="0"/>
              <w:ind w:left="150" w:hanging="150"/>
              <w:jc w:val="left"/>
              <w:rPr>
                <w:rFonts w:eastAsia="Times New Roman"/>
                <w:color w:val="000000"/>
                <w:sz w:val="20"/>
                <w:szCs w:val="20"/>
              </w:rPr>
            </w:pPr>
            <w:r w:rsidRPr="003730C2">
              <w:rPr>
                <w:sz w:val="20"/>
                <w:szCs w:val="20"/>
              </w:rPr>
              <w:t>Non-nested likelihood ratio test: Proposed model versus NT “Player” Segment</w:t>
            </w:r>
          </w:p>
        </w:tc>
        <w:tc>
          <w:tcPr>
            <w:tcW w:w="4140" w:type="dxa"/>
            <w:gridSpan w:val="3"/>
            <w:tcBorders>
              <w:top w:val="nil"/>
              <w:left w:val="nil"/>
              <w:bottom w:val="single" w:sz="4" w:space="0" w:color="auto"/>
              <w:right w:val="double" w:sz="4" w:space="0" w:color="auto"/>
            </w:tcBorders>
            <w:shd w:val="clear" w:color="auto" w:fill="auto"/>
            <w:noWrap/>
            <w:tcMar>
              <w:left w:w="43" w:type="dxa"/>
              <w:right w:w="43" w:type="dxa"/>
            </w:tcMar>
            <w:vAlign w:val="center"/>
          </w:tcPr>
          <w:p w14:paraId="36611A45" w14:textId="0E57CF26" w:rsidR="00E465D0" w:rsidRPr="003730C2" w:rsidRDefault="00E465D0" w:rsidP="00302827">
            <w:pPr>
              <w:spacing w:after="0"/>
              <w:jc w:val="center"/>
              <w:rPr>
                <w:rFonts w:eastAsia="Times New Roman"/>
                <w:sz w:val="20"/>
                <w:szCs w:val="20"/>
              </w:rPr>
            </w:pPr>
            <w:r w:rsidRPr="003730C2">
              <w:rPr>
                <w:rFonts w:eastAsia="Times New Roman"/>
                <w:sz w:val="20"/>
                <w:szCs w:val="20"/>
              </w:rPr>
              <w:t>Φ(</w:t>
            </w:r>
            <w:r w:rsidR="008649C5" w:rsidRPr="003730C2">
              <w:rPr>
                <w:rFonts w:eastAsia="Times New Roman"/>
                <w:sz w:val="20"/>
                <w:szCs w:val="20"/>
              </w:rPr>
              <w:t>-9.</w:t>
            </w:r>
            <w:r w:rsidR="005A42FD" w:rsidRPr="003730C2">
              <w:rPr>
                <w:rFonts w:eastAsia="Times New Roman"/>
                <w:sz w:val="20"/>
                <w:szCs w:val="20"/>
              </w:rPr>
              <w:t>3</w:t>
            </w:r>
            <w:r w:rsidR="00C83365" w:rsidRPr="003730C2">
              <w:rPr>
                <w:rFonts w:eastAsia="Times New Roman"/>
                <w:sz w:val="20"/>
                <w:szCs w:val="20"/>
              </w:rPr>
              <w:t>0</w:t>
            </w:r>
            <w:r w:rsidRPr="003730C2">
              <w:rPr>
                <w:rFonts w:eastAsia="Times New Roman"/>
                <w:sz w:val="20"/>
                <w:szCs w:val="20"/>
              </w:rPr>
              <w:t>) &lt;&lt;&lt; 0.0001</w:t>
            </w:r>
          </w:p>
        </w:tc>
      </w:tr>
      <w:tr w:rsidR="008649C5" w:rsidRPr="003730C2" w14:paraId="27AD764D" w14:textId="77777777" w:rsidTr="005D4542">
        <w:trPr>
          <w:trHeight w:val="144"/>
        </w:trPr>
        <w:tc>
          <w:tcPr>
            <w:tcW w:w="5570" w:type="dxa"/>
            <w:gridSpan w:val="4"/>
            <w:tcBorders>
              <w:top w:val="sing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2CD7E832" w14:textId="77777777" w:rsidR="00E465D0" w:rsidRPr="003730C2" w:rsidRDefault="00E465D0" w:rsidP="003730C2">
            <w:pPr>
              <w:spacing w:after="0"/>
              <w:ind w:left="150" w:hanging="150"/>
              <w:jc w:val="left"/>
              <w:rPr>
                <w:rFonts w:eastAsia="Times New Roman"/>
                <w:color w:val="000000"/>
                <w:sz w:val="20"/>
                <w:szCs w:val="20"/>
              </w:rPr>
            </w:pPr>
            <w:r w:rsidRPr="003730C2">
              <w:rPr>
                <w:sz w:val="20"/>
                <w:szCs w:val="20"/>
              </w:rPr>
              <w:t>Non-nested likelihood ratio test: Proposed model versus TN “Worker” Segment</w:t>
            </w:r>
          </w:p>
        </w:tc>
        <w:tc>
          <w:tcPr>
            <w:tcW w:w="4140" w:type="dxa"/>
            <w:gridSpan w:val="3"/>
            <w:tcBorders>
              <w:top w:val="single" w:sz="4" w:space="0" w:color="auto"/>
              <w:left w:val="nil"/>
              <w:bottom w:val="double" w:sz="4" w:space="0" w:color="auto"/>
              <w:right w:val="double" w:sz="4" w:space="0" w:color="auto"/>
            </w:tcBorders>
            <w:shd w:val="clear" w:color="auto" w:fill="auto"/>
            <w:noWrap/>
            <w:tcMar>
              <w:left w:w="43" w:type="dxa"/>
              <w:right w:w="43" w:type="dxa"/>
            </w:tcMar>
            <w:vAlign w:val="center"/>
          </w:tcPr>
          <w:p w14:paraId="71F38E78" w14:textId="3277C01D" w:rsidR="00E465D0" w:rsidRPr="003730C2" w:rsidRDefault="00E465D0" w:rsidP="00302827">
            <w:pPr>
              <w:spacing w:after="0"/>
              <w:jc w:val="center"/>
              <w:rPr>
                <w:sz w:val="20"/>
                <w:szCs w:val="20"/>
              </w:rPr>
            </w:pPr>
            <w:r w:rsidRPr="003730C2">
              <w:rPr>
                <w:rFonts w:eastAsia="Times New Roman"/>
                <w:sz w:val="20"/>
                <w:szCs w:val="20"/>
              </w:rPr>
              <w:t>Φ(</w:t>
            </w:r>
            <w:r w:rsidR="008649C5" w:rsidRPr="003730C2">
              <w:rPr>
                <w:rFonts w:eastAsia="Times New Roman"/>
                <w:sz w:val="20"/>
                <w:szCs w:val="20"/>
              </w:rPr>
              <w:t>-9</w:t>
            </w:r>
            <w:r w:rsidR="005A42FD" w:rsidRPr="003730C2">
              <w:rPr>
                <w:rFonts w:eastAsia="Times New Roman"/>
                <w:sz w:val="20"/>
                <w:szCs w:val="20"/>
              </w:rPr>
              <w:t>.3</w:t>
            </w:r>
            <w:r w:rsidR="00C83365" w:rsidRPr="003730C2">
              <w:rPr>
                <w:rFonts w:eastAsia="Times New Roman"/>
                <w:sz w:val="20"/>
                <w:szCs w:val="20"/>
              </w:rPr>
              <w:t>0</w:t>
            </w:r>
            <w:r w:rsidRPr="003730C2">
              <w:rPr>
                <w:rFonts w:eastAsia="Times New Roman"/>
                <w:sz w:val="20"/>
                <w:szCs w:val="20"/>
              </w:rPr>
              <w:t>) &lt;&lt;&lt; 0.0001</w:t>
            </w:r>
          </w:p>
        </w:tc>
      </w:tr>
      <w:tr w:rsidR="008649C5" w:rsidRPr="003730C2" w14:paraId="4E01D42C" w14:textId="77777777" w:rsidTr="005D4542">
        <w:trPr>
          <w:trHeight w:val="144"/>
        </w:trPr>
        <w:tc>
          <w:tcPr>
            <w:tcW w:w="9710" w:type="dxa"/>
            <w:gridSpan w:val="7"/>
            <w:tcBorders>
              <w:top w:val="double" w:sz="4" w:space="0" w:color="auto"/>
              <w:left w:val="double" w:sz="4" w:space="0" w:color="auto"/>
              <w:bottom w:val="double" w:sz="4" w:space="0" w:color="auto"/>
              <w:right w:val="double" w:sz="4" w:space="0" w:color="auto"/>
            </w:tcBorders>
            <w:shd w:val="clear" w:color="auto" w:fill="auto"/>
            <w:noWrap/>
            <w:tcMar>
              <w:left w:w="43" w:type="dxa"/>
              <w:right w:w="43" w:type="dxa"/>
            </w:tcMar>
            <w:vAlign w:val="center"/>
            <w:hideMark/>
          </w:tcPr>
          <w:p w14:paraId="44A0203E" w14:textId="047FC53C" w:rsidR="00E465D0" w:rsidRPr="003730C2" w:rsidRDefault="00E465D0" w:rsidP="00302827">
            <w:pPr>
              <w:spacing w:after="0"/>
              <w:jc w:val="center"/>
              <w:rPr>
                <w:rFonts w:eastAsia="Times New Roman"/>
                <w:b/>
                <w:bCs/>
                <w:i/>
                <w:iCs/>
                <w:sz w:val="20"/>
                <w:szCs w:val="20"/>
              </w:rPr>
            </w:pPr>
            <w:r w:rsidRPr="003730C2">
              <w:rPr>
                <w:rFonts w:eastAsia="Times New Roman"/>
                <w:b/>
                <w:bCs/>
                <w:i/>
                <w:iCs/>
                <w:sz w:val="20"/>
                <w:szCs w:val="20"/>
              </w:rPr>
              <w:t xml:space="preserve">Aggregate </w:t>
            </w:r>
            <w:r w:rsidR="003730C2" w:rsidRPr="003730C2">
              <w:rPr>
                <w:rFonts w:eastAsia="Times New Roman"/>
                <w:b/>
                <w:bCs/>
                <w:i/>
                <w:iCs/>
                <w:sz w:val="20"/>
                <w:szCs w:val="20"/>
              </w:rPr>
              <w:t>F</w:t>
            </w:r>
            <w:r w:rsidRPr="003730C2">
              <w:rPr>
                <w:rFonts w:eastAsia="Times New Roman"/>
                <w:b/>
                <w:bCs/>
                <w:i/>
                <w:iCs/>
                <w:sz w:val="20"/>
                <w:szCs w:val="20"/>
              </w:rPr>
              <w:t xml:space="preserve">it </w:t>
            </w:r>
            <w:r w:rsidR="003730C2" w:rsidRPr="003730C2">
              <w:rPr>
                <w:rFonts w:eastAsia="Times New Roman"/>
                <w:b/>
                <w:bCs/>
                <w:i/>
                <w:iCs/>
                <w:sz w:val="20"/>
                <w:szCs w:val="20"/>
              </w:rPr>
              <w:t>M</w:t>
            </w:r>
            <w:r w:rsidRPr="003730C2">
              <w:rPr>
                <w:rFonts w:eastAsia="Times New Roman"/>
                <w:b/>
                <w:bCs/>
                <w:i/>
                <w:iCs/>
                <w:sz w:val="20"/>
                <w:szCs w:val="20"/>
              </w:rPr>
              <w:t>easures</w:t>
            </w:r>
          </w:p>
        </w:tc>
      </w:tr>
      <w:tr w:rsidR="005D4542" w:rsidRPr="003730C2" w14:paraId="4BF625FE" w14:textId="77777777" w:rsidTr="005D4542">
        <w:trPr>
          <w:trHeight w:val="144"/>
        </w:trPr>
        <w:tc>
          <w:tcPr>
            <w:tcW w:w="4580" w:type="dxa"/>
            <w:gridSpan w:val="3"/>
            <w:tcBorders>
              <w:top w:val="double" w:sz="4" w:space="0" w:color="auto"/>
              <w:left w:val="double" w:sz="4" w:space="0" w:color="auto"/>
              <w:bottom w:val="single" w:sz="4" w:space="0" w:color="auto"/>
              <w:right w:val="single" w:sz="4" w:space="0" w:color="auto"/>
            </w:tcBorders>
            <w:shd w:val="clear" w:color="auto" w:fill="auto"/>
            <w:noWrap/>
            <w:tcMar>
              <w:left w:w="43" w:type="dxa"/>
              <w:right w:w="43" w:type="dxa"/>
            </w:tcMar>
            <w:vAlign w:val="center"/>
            <w:hideMark/>
          </w:tcPr>
          <w:p w14:paraId="37357A2C" w14:textId="36EC6889" w:rsidR="005D4542" w:rsidRPr="003730C2" w:rsidRDefault="005D4542" w:rsidP="00302827">
            <w:pPr>
              <w:spacing w:after="0"/>
              <w:jc w:val="center"/>
              <w:rPr>
                <w:rFonts w:eastAsia="Times New Roman"/>
                <w:b/>
                <w:color w:val="000000"/>
                <w:sz w:val="20"/>
                <w:szCs w:val="20"/>
              </w:rPr>
            </w:pPr>
            <w:r w:rsidRPr="003730C2">
              <w:rPr>
                <w:rFonts w:eastAsia="Times New Roman"/>
                <w:b/>
                <w:color w:val="000000"/>
                <w:sz w:val="20"/>
                <w:szCs w:val="20"/>
              </w:rPr>
              <w:t xml:space="preserve">Combination </w:t>
            </w:r>
            <w:r>
              <w:rPr>
                <w:rFonts w:eastAsia="Times New Roman"/>
                <w:b/>
                <w:color w:val="000000"/>
                <w:sz w:val="20"/>
                <w:szCs w:val="20"/>
              </w:rPr>
              <w:t>C</w:t>
            </w:r>
            <w:r w:rsidRPr="003730C2">
              <w:rPr>
                <w:rFonts w:eastAsia="Times New Roman"/>
                <w:b/>
                <w:color w:val="000000"/>
                <w:sz w:val="20"/>
                <w:szCs w:val="20"/>
              </w:rPr>
              <w:t>ounts</w:t>
            </w:r>
          </w:p>
        </w:tc>
        <w:tc>
          <w:tcPr>
            <w:tcW w:w="990" w:type="dxa"/>
            <w:vMerge w:val="restart"/>
            <w:tcBorders>
              <w:top w:val="double" w:sz="4" w:space="0" w:color="auto"/>
              <w:left w:val="nil"/>
              <w:right w:val="single" w:sz="4" w:space="0" w:color="auto"/>
            </w:tcBorders>
            <w:shd w:val="clear" w:color="auto" w:fill="auto"/>
            <w:noWrap/>
            <w:tcMar>
              <w:left w:w="43" w:type="dxa"/>
              <w:right w:w="43" w:type="dxa"/>
            </w:tcMar>
            <w:vAlign w:val="center"/>
            <w:hideMark/>
          </w:tcPr>
          <w:p w14:paraId="199CA9D3" w14:textId="2DEB6FE5" w:rsidR="005D4542" w:rsidRPr="003730C2" w:rsidRDefault="005D4542" w:rsidP="005D4542">
            <w:pPr>
              <w:spacing w:after="0"/>
              <w:jc w:val="center"/>
              <w:rPr>
                <w:rFonts w:eastAsia="Times New Roman"/>
                <w:b/>
                <w:color w:val="000000"/>
                <w:sz w:val="20"/>
                <w:szCs w:val="20"/>
              </w:rPr>
            </w:pPr>
            <w:r w:rsidRPr="003730C2">
              <w:rPr>
                <w:rFonts w:eastAsia="Times New Roman"/>
                <w:b/>
                <w:color w:val="000000"/>
                <w:sz w:val="20"/>
                <w:szCs w:val="20"/>
              </w:rPr>
              <w:t xml:space="preserve">Observed </w:t>
            </w:r>
            <w:r>
              <w:rPr>
                <w:rFonts w:eastAsia="Times New Roman"/>
                <w:b/>
                <w:color w:val="000000"/>
                <w:sz w:val="20"/>
                <w:szCs w:val="20"/>
              </w:rPr>
              <w:t>C</w:t>
            </w:r>
            <w:r w:rsidRPr="003730C2">
              <w:rPr>
                <w:rFonts w:eastAsia="Times New Roman"/>
                <w:b/>
                <w:color w:val="000000"/>
                <w:sz w:val="20"/>
                <w:szCs w:val="20"/>
              </w:rPr>
              <w:t>ount</w:t>
            </w:r>
          </w:p>
        </w:tc>
        <w:tc>
          <w:tcPr>
            <w:tcW w:w="1391" w:type="dxa"/>
            <w:vMerge w:val="restart"/>
            <w:tcBorders>
              <w:top w:val="double" w:sz="4" w:space="0" w:color="auto"/>
              <w:left w:val="nil"/>
              <w:right w:val="single" w:sz="4" w:space="0" w:color="auto"/>
            </w:tcBorders>
            <w:shd w:val="clear" w:color="auto" w:fill="auto"/>
            <w:noWrap/>
            <w:tcMar>
              <w:left w:w="43" w:type="dxa"/>
              <w:right w:w="43" w:type="dxa"/>
            </w:tcMar>
            <w:vAlign w:val="center"/>
            <w:hideMark/>
          </w:tcPr>
          <w:p w14:paraId="2A2BD434" w14:textId="651BABC5" w:rsidR="005D4542" w:rsidRPr="003730C2" w:rsidRDefault="005D4542" w:rsidP="005D4542">
            <w:pPr>
              <w:spacing w:after="0"/>
              <w:jc w:val="center"/>
              <w:rPr>
                <w:rFonts w:eastAsia="Times New Roman"/>
                <w:b/>
                <w:sz w:val="20"/>
                <w:szCs w:val="20"/>
              </w:rPr>
            </w:pPr>
            <w:r w:rsidRPr="003730C2">
              <w:rPr>
                <w:rFonts w:eastAsia="Times New Roman"/>
                <w:b/>
                <w:bCs/>
                <w:sz w:val="20"/>
                <w:szCs w:val="20"/>
              </w:rPr>
              <w:t xml:space="preserve">Proposed Joint </w:t>
            </w:r>
            <w:r>
              <w:rPr>
                <w:rFonts w:eastAsia="Times New Roman"/>
                <w:b/>
                <w:bCs/>
                <w:sz w:val="20"/>
                <w:szCs w:val="20"/>
              </w:rPr>
              <w:t>M</w:t>
            </w:r>
            <w:r w:rsidRPr="003730C2">
              <w:rPr>
                <w:rFonts w:eastAsia="Times New Roman"/>
                <w:b/>
                <w:bCs/>
                <w:sz w:val="20"/>
                <w:szCs w:val="20"/>
              </w:rPr>
              <w:t>odel</w:t>
            </w:r>
          </w:p>
        </w:tc>
        <w:tc>
          <w:tcPr>
            <w:tcW w:w="1399" w:type="dxa"/>
            <w:vMerge w:val="restart"/>
            <w:tcBorders>
              <w:top w:val="double" w:sz="4" w:space="0" w:color="auto"/>
              <w:left w:val="nil"/>
              <w:right w:val="single" w:sz="4" w:space="0" w:color="auto"/>
            </w:tcBorders>
            <w:shd w:val="clear" w:color="auto" w:fill="auto"/>
            <w:noWrap/>
            <w:tcMar>
              <w:left w:w="43" w:type="dxa"/>
              <w:right w:w="43" w:type="dxa"/>
            </w:tcMar>
            <w:vAlign w:val="center"/>
            <w:hideMark/>
          </w:tcPr>
          <w:p w14:paraId="6E788C7B" w14:textId="77777777" w:rsidR="005D4542" w:rsidRPr="003730C2" w:rsidRDefault="005D4542" w:rsidP="005D4542">
            <w:pPr>
              <w:spacing w:after="0"/>
              <w:jc w:val="center"/>
              <w:rPr>
                <w:rFonts w:eastAsia="Times New Roman"/>
                <w:b/>
                <w:sz w:val="20"/>
                <w:szCs w:val="20"/>
              </w:rPr>
            </w:pPr>
            <w:r w:rsidRPr="003730C2">
              <w:rPr>
                <w:rFonts w:eastAsia="Times New Roman"/>
                <w:b/>
                <w:bCs/>
                <w:sz w:val="20"/>
                <w:szCs w:val="20"/>
              </w:rPr>
              <w:t>NT “Player” Model</w:t>
            </w:r>
          </w:p>
        </w:tc>
        <w:tc>
          <w:tcPr>
            <w:tcW w:w="1350" w:type="dxa"/>
            <w:vMerge w:val="restart"/>
            <w:tcBorders>
              <w:top w:val="double" w:sz="4" w:space="0" w:color="auto"/>
              <w:left w:val="single" w:sz="4" w:space="0" w:color="auto"/>
              <w:right w:val="double" w:sz="4" w:space="0" w:color="auto"/>
            </w:tcBorders>
            <w:tcMar>
              <w:left w:w="43" w:type="dxa"/>
              <w:right w:w="43" w:type="dxa"/>
            </w:tcMar>
            <w:vAlign w:val="center"/>
          </w:tcPr>
          <w:p w14:paraId="21B2305D" w14:textId="1695E93C" w:rsidR="005D4542" w:rsidRPr="003730C2" w:rsidRDefault="005D4542" w:rsidP="005D4542">
            <w:pPr>
              <w:spacing w:after="0"/>
              <w:jc w:val="center"/>
              <w:rPr>
                <w:rFonts w:eastAsia="Times New Roman"/>
                <w:b/>
                <w:sz w:val="20"/>
                <w:szCs w:val="20"/>
              </w:rPr>
            </w:pPr>
            <w:r w:rsidRPr="003730C2">
              <w:rPr>
                <w:rFonts w:eastAsia="Times New Roman"/>
                <w:b/>
                <w:bCs/>
                <w:color w:val="000000"/>
                <w:sz w:val="20"/>
                <w:szCs w:val="20"/>
              </w:rPr>
              <w:t>TN “Worker” Model</w:t>
            </w:r>
          </w:p>
        </w:tc>
      </w:tr>
      <w:tr w:rsidR="005D4542" w:rsidRPr="003730C2" w14:paraId="35C6B5DA" w14:textId="77777777" w:rsidTr="005D4542">
        <w:trPr>
          <w:trHeight w:val="144"/>
        </w:trPr>
        <w:tc>
          <w:tcPr>
            <w:tcW w:w="2240" w:type="dxa"/>
            <w:tcBorders>
              <w:top w:val="nil"/>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3D1C62AE" w14:textId="77777777" w:rsidR="005D4542" w:rsidRPr="003730C2" w:rsidRDefault="005D4542" w:rsidP="00302827">
            <w:pPr>
              <w:spacing w:after="0"/>
              <w:jc w:val="center"/>
              <w:rPr>
                <w:rFonts w:eastAsia="Times New Roman"/>
                <w:b/>
                <w:color w:val="000000"/>
                <w:sz w:val="20"/>
                <w:szCs w:val="20"/>
              </w:rPr>
            </w:pPr>
            <w:r w:rsidRPr="003730C2">
              <w:rPr>
                <w:rFonts w:eastAsia="Times New Roman"/>
                <w:b/>
                <w:color w:val="000000"/>
                <w:sz w:val="20"/>
                <w:szCs w:val="20"/>
              </w:rPr>
              <w:t>Telework (Days/</w:t>
            </w:r>
            <w:proofErr w:type="spellStart"/>
            <w:r w:rsidRPr="003730C2">
              <w:rPr>
                <w:rFonts w:eastAsia="Times New Roman"/>
                <w:b/>
                <w:color w:val="000000"/>
                <w:sz w:val="20"/>
                <w:szCs w:val="20"/>
              </w:rPr>
              <w:t>wk</w:t>
            </w:r>
            <w:proofErr w:type="spellEnd"/>
            <w:r w:rsidRPr="003730C2">
              <w:rPr>
                <w:rFonts w:eastAsia="Times New Roman"/>
                <w:b/>
                <w:color w:val="000000"/>
                <w:sz w:val="20"/>
                <w:szCs w:val="20"/>
              </w:rPr>
              <w:t>)</w:t>
            </w:r>
          </w:p>
        </w:tc>
        <w:tc>
          <w:tcPr>
            <w:tcW w:w="1119" w:type="dxa"/>
            <w:tcBorders>
              <w:top w:val="nil"/>
              <w:left w:val="single" w:sz="4" w:space="0" w:color="auto"/>
              <w:bottom w:val="double" w:sz="4" w:space="0" w:color="auto"/>
              <w:right w:val="single" w:sz="4" w:space="0" w:color="auto"/>
            </w:tcBorders>
            <w:shd w:val="clear" w:color="auto" w:fill="auto"/>
            <w:tcMar>
              <w:left w:w="43" w:type="dxa"/>
              <w:right w:w="43" w:type="dxa"/>
            </w:tcMar>
            <w:vAlign w:val="bottom"/>
          </w:tcPr>
          <w:p w14:paraId="05028C26" w14:textId="77777777" w:rsidR="005D4542" w:rsidRPr="003730C2" w:rsidRDefault="005D4542" w:rsidP="00302827">
            <w:pPr>
              <w:spacing w:after="0"/>
              <w:jc w:val="center"/>
              <w:rPr>
                <w:rFonts w:eastAsia="Times New Roman"/>
                <w:b/>
                <w:color w:val="000000"/>
                <w:sz w:val="20"/>
                <w:szCs w:val="20"/>
              </w:rPr>
            </w:pPr>
            <w:proofErr w:type="spellStart"/>
            <w:r w:rsidRPr="003730C2">
              <w:rPr>
                <w:rFonts w:eastAsia="Times New Roman"/>
                <w:b/>
                <w:color w:val="000000"/>
                <w:sz w:val="20"/>
                <w:szCs w:val="20"/>
              </w:rPr>
              <w:t>Maint</w:t>
            </w:r>
            <w:proofErr w:type="spellEnd"/>
            <w:r w:rsidRPr="003730C2">
              <w:rPr>
                <w:rFonts w:eastAsia="Times New Roman"/>
                <w:b/>
                <w:color w:val="000000"/>
                <w:sz w:val="20"/>
                <w:szCs w:val="20"/>
              </w:rPr>
              <w:t>. Stop Count</w:t>
            </w:r>
          </w:p>
        </w:tc>
        <w:tc>
          <w:tcPr>
            <w:tcW w:w="1221" w:type="dxa"/>
            <w:tcBorders>
              <w:top w:val="nil"/>
              <w:left w:val="single" w:sz="4" w:space="0" w:color="auto"/>
              <w:bottom w:val="double" w:sz="4" w:space="0" w:color="auto"/>
              <w:right w:val="single" w:sz="4" w:space="0" w:color="auto"/>
            </w:tcBorders>
            <w:shd w:val="clear" w:color="auto" w:fill="auto"/>
            <w:tcMar>
              <w:left w:w="43" w:type="dxa"/>
              <w:right w:w="43" w:type="dxa"/>
            </w:tcMar>
            <w:vAlign w:val="bottom"/>
          </w:tcPr>
          <w:p w14:paraId="34B854A5" w14:textId="5BF549BF" w:rsidR="005D4542" w:rsidRPr="003730C2" w:rsidRDefault="005D4542" w:rsidP="005D4542">
            <w:pPr>
              <w:spacing w:after="0"/>
              <w:jc w:val="center"/>
              <w:rPr>
                <w:rFonts w:eastAsia="Times New Roman"/>
                <w:b/>
                <w:color w:val="000000"/>
                <w:sz w:val="20"/>
                <w:szCs w:val="20"/>
              </w:rPr>
            </w:pPr>
            <w:r w:rsidRPr="003730C2">
              <w:rPr>
                <w:rFonts w:eastAsia="Times New Roman"/>
                <w:b/>
                <w:color w:val="000000"/>
                <w:sz w:val="20"/>
                <w:szCs w:val="20"/>
              </w:rPr>
              <w:t>Leisure</w:t>
            </w:r>
            <w:r>
              <w:rPr>
                <w:rFonts w:eastAsia="Times New Roman"/>
                <w:b/>
                <w:color w:val="000000"/>
                <w:sz w:val="20"/>
                <w:szCs w:val="20"/>
              </w:rPr>
              <w:t xml:space="preserve"> </w:t>
            </w:r>
            <w:r w:rsidRPr="003730C2">
              <w:rPr>
                <w:rFonts w:eastAsia="Times New Roman"/>
                <w:b/>
                <w:color w:val="000000"/>
                <w:sz w:val="20"/>
                <w:szCs w:val="20"/>
              </w:rPr>
              <w:t>Stop</w:t>
            </w:r>
            <w:r>
              <w:rPr>
                <w:rFonts w:eastAsia="Times New Roman"/>
                <w:b/>
                <w:color w:val="000000"/>
                <w:sz w:val="20"/>
                <w:szCs w:val="20"/>
              </w:rPr>
              <w:t xml:space="preserve"> </w:t>
            </w:r>
            <w:r w:rsidRPr="003730C2">
              <w:rPr>
                <w:rFonts w:eastAsia="Times New Roman"/>
                <w:b/>
                <w:color w:val="000000"/>
                <w:sz w:val="20"/>
                <w:szCs w:val="20"/>
              </w:rPr>
              <w:t>Count</w:t>
            </w:r>
          </w:p>
        </w:tc>
        <w:tc>
          <w:tcPr>
            <w:tcW w:w="990" w:type="dxa"/>
            <w:vMerge/>
            <w:tcBorders>
              <w:left w:val="nil"/>
              <w:bottom w:val="double" w:sz="4" w:space="0" w:color="auto"/>
              <w:right w:val="single" w:sz="4" w:space="0" w:color="auto"/>
            </w:tcBorders>
            <w:shd w:val="clear" w:color="auto" w:fill="auto"/>
            <w:noWrap/>
            <w:tcMar>
              <w:left w:w="43" w:type="dxa"/>
              <w:right w:w="43" w:type="dxa"/>
            </w:tcMar>
            <w:vAlign w:val="bottom"/>
            <w:hideMark/>
          </w:tcPr>
          <w:p w14:paraId="1E940068" w14:textId="77777777" w:rsidR="005D4542" w:rsidRPr="003730C2" w:rsidRDefault="005D4542" w:rsidP="00302827">
            <w:pPr>
              <w:spacing w:after="0"/>
              <w:rPr>
                <w:rFonts w:eastAsia="Times New Roman"/>
                <w:b/>
                <w:color w:val="000000"/>
                <w:sz w:val="20"/>
                <w:szCs w:val="20"/>
              </w:rPr>
            </w:pPr>
          </w:p>
        </w:tc>
        <w:tc>
          <w:tcPr>
            <w:tcW w:w="1391" w:type="dxa"/>
            <w:vMerge/>
            <w:tcBorders>
              <w:left w:val="nil"/>
              <w:bottom w:val="double" w:sz="4" w:space="0" w:color="auto"/>
              <w:right w:val="single" w:sz="4" w:space="0" w:color="auto"/>
            </w:tcBorders>
            <w:shd w:val="clear" w:color="auto" w:fill="auto"/>
            <w:noWrap/>
            <w:tcMar>
              <w:left w:w="43" w:type="dxa"/>
              <w:right w:w="43" w:type="dxa"/>
            </w:tcMar>
            <w:vAlign w:val="center"/>
            <w:hideMark/>
          </w:tcPr>
          <w:p w14:paraId="2EE04DAE" w14:textId="77777777" w:rsidR="005D4542" w:rsidRPr="003730C2" w:rsidRDefault="005D4542" w:rsidP="005D4542">
            <w:pPr>
              <w:spacing w:after="0"/>
              <w:jc w:val="center"/>
              <w:rPr>
                <w:rFonts w:eastAsia="Times New Roman"/>
                <w:b/>
                <w:color w:val="000000"/>
                <w:sz w:val="20"/>
                <w:szCs w:val="20"/>
              </w:rPr>
            </w:pPr>
          </w:p>
        </w:tc>
        <w:tc>
          <w:tcPr>
            <w:tcW w:w="1399" w:type="dxa"/>
            <w:vMerge/>
            <w:tcBorders>
              <w:left w:val="nil"/>
              <w:bottom w:val="double" w:sz="4" w:space="0" w:color="auto"/>
              <w:right w:val="single" w:sz="4" w:space="0" w:color="auto"/>
            </w:tcBorders>
            <w:shd w:val="clear" w:color="auto" w:fill="auto"/>
            <w:noWrap/>
            <w:tcMar>
              <w:left w:w="43" w:type="dxa"/>
              <w:right w:w="43" w:type="dxa"/>
            </w:tcMar>
            <w:vAlign w:val="center"/>
            <w:hideMark/>
          </w:tcPr>
          <w:p w14:paraId="6E10D304" w14:textId="77777777" w:rsidR="005D4542" w:rsidRPr="003730C2" w:rsidRDefault="005D4542" w:rsidP="005D4542">
            <w:pPr>
              <w:spacing w:after="0"/>
              <w:jc w:val="center"/>
              <w:rPr>
                <w:rFonts w:eastAsia="Times New Roman"/>
                <w:b/>
                <w:color w:val="000000"/>
                <w:sz w:val="20"/>
                <w:szCs w:val="20"/>
              </w:rPr>
            </w:pPr>
          </w:p>
        </w:tc>
        <w:tc>
          <w:tcPr>
            <w:tcW w:w="1350" w:type="dxa"/>
            <w:vMerge/>
            <w:tcBorders>
              <w:left w:val="single" w:sz="4" w:space="0" w:color="auto"/>
              <w:bottom w:val="double" w:sz="4" w:space="0" w:color="auto"/>
              <w:right w:val="double" w:sz="4" w:space="0" w:color="auto"/>
            </w:tcBorders>
            <w:tcMar>
              <w:left w:w="43" w:type="dxa"/>
              <w:right w:w="43" w:type="dxa"/>
            </w:tcMar>
            <w:vAlign w:val="center"/>
          </w:tcPr>
          <w:p w14:paraId="167C333F" w14:textId="16D8CF50" w:rsidR="005D4542" w:rsidRPr="003730C2" w:rsidRDefault="005D4542" w:rsidP="005D4542">
            <w:pPr>
              <w:spacing w:after="0"/>
              <w:jc w:val="center"/>
              <w:rPr>
                <w:rFonts w:eastAsia="Times New Roman"/>
                <w:b/>
                <w:color w:val="000000"/>
                <w:sz w:val="20"/>
                <w:szCs w:val="20"/>
              </w:rPr>
            </w:pPr>
          </w:p>
        </w:tc>
      </w:tr>
      <w:tr w:rsidR="00E465D0" w:rsidRPr="003730C2" w14:paraId="3E85189E" w14:textId="77777777" w:rsidTr="005D4542">
        <w:trPr>
          <w:trHeight w:val="144"/>
        </w:trPr>
        <w:tc>
          <w:tcPr>
            <w:tcW w:w="2240" w:type="dxa"/>
            <w:tcBorders>
              <w:top w:val="double" w:sz="4" w:space="0" w:color="auto"/>
              <w:left w:val="double" w:sz="4" w:space="0" w:color="auto"/>
              <w:bottom w:val="single" w:sz="4" w:space="0" w:color="auto"/>
              <w:right w:val="single" w:sz="4" w:space="0" w:color="auto"/>
            </w:tcBorders>
            <w:shd w:val="clear" w:color="auto" w:fill="auto"/>
            <w:noWrap/>
            <w:tcMar>
              <w:left w:w="43" w:type="dxa"/>
              <w:right w:w="43" w:type="dxa"/>
            </w:tcMar>
            <w:vAlign w:val="center"/>
            <w:hideMark/>
          </w:tcPr>
          <w:p w14:paraId="233B4E5A"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doub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539AA96"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doub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05218C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double" w:sz="4" w:space="0" w:color="auto"/>
              <w:left w:val="nil"/>
              <w:bottom w:val="single" w:sz="4" w:space="0" w:color="auto"/>
              <w:right w:val="single" w:sz="4" w:space="0" w:color="auto"/>
            </w:tcBorders>
            <w:shd w:val="clear" w:color="auto" w:fill="auto"/>
            <w:noWrap/>
            <w:tcMar>
              <w:left w:w="43" w:type="dxa"/>
              <w:right w:w="43" w:type="dxa"/>
            </w:tcMar>
            <w:vAlign w:val="center"/>
          </w:tcPr>
          <w:p w14:paraId="688E6848"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8.2</w:t>
            </w:r>
          </w:p>
        </w:tc>
        <w:tc>
          <w:tcPr>
            <w:tcW w:w="1391" w:type="dxa"/>
            <w:tcBorders>
              <w:top w:val="double" w:sz="4" w:space="0" w:color="auto"/>
              <w:left w:val="nil"/>
              <w:bottom w:val="single" w:sz="4" w:space="0" w:color="auto"/>
              <w:right w:val="single" w:sz="4" w:space="0" w:color="auto"/>
            </w:tcBorders>
            <w:shd w:val="clear" w:color="auto" w:fill="auto"/>
            <w:noWrap/>
            <w:tcMar>
              <w:left w:w="43" w:type="dxa"/>
              <w:right w:w="43" w:type="dxa"/>
            </w:tcMar>
            <w:vAlign w:val="center"/>
          </w:tcPr>
          <w:p w14:paraId="3A437D02"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7.2</w:t>
            </w:r>
          </w:p>
        </w:tc>
        <w:tc>
          <w:tcPr>
            <w:tcW w:w="1399" w:type="dxa"/>
            <w:tcBorders>
              <w:top w:val="double" w:sz="4" w:space="0" w:color="auto"/>
              <w:left w:val="nil"/>
              <w:bottom w:val="single" w:sz="4" w:space="0" w:color="auto"/>
              <w:right w:val="single" w:sz="4" w:space="0" w:color="auto"/>
            </w:tcBorders>
            <w:shd w:val="clear" w:color="auto" w:fill="auto"/>
            <w:noWrap/>
            <w:tcMar>
              <w:left w:w="43" w:type="dxa"/>
              <w:right w:w="43" w:type="dxa"/>
            </w:tcMar>
            <w:vAlign w:val="center"/>
          </w:tcPr>
          <w:p w14:paraId="4A1F7856"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11.0</w:t>
            </w:r>
          </w:p>
        </w:tc>
        <w:tc>
          <w:tcPr>
            <w:tcW w:w="1350" w:type="dxa"/>
            <w:tcBorders>
              <w:top w:val="double" w:sz="4" w:space="0" w:color="auto"/>
              <w:left w:val="single" w:sz="4" w:space="0" w:color="auto"/>
              <w:bottom w:val="single" w:sz="4" w:space="0" w:color="auto"/>
              <w:right w:val="double" w:sz="4" w:space="0" w:color="auto"/>
            </w:tcBorders>
            <w:tcMar>
              <w:left w:w="43" w:type="dxa"/>
              <w:right w:w="43" w:type="dxa"/>
            </w:tcMar>
            <w:vAlign w:val="center"/>
          </w:tcPr>
          <w:p w14:paraId="34586771"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0.2</w:t>
            </w:r>
          </w:p>
        </w:tc>
      </w:tr>
      <w:tr w:rsidR="00E465D0" w:rsidRPr="003730C2" w14:paraId="25C6086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30E3294"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2B70EB1"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3BB553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4C22D87"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4.2</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8594D23"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5.0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4F1214A"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7.1</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196EB19"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1.2</w:t>
            </w:r>
          </w:p>
        </w:tc>
      </w:tr>
      <w:tr w:rsidR="00E465D0" w:rsidRPr="003730C2" w14:paraId="70E89B92"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93D4DF5"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FE4711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9D45FD1"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36CBF8C"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5.1</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DFD49FB"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4.7</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90C0024"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2.4</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C6E5CBD"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9.2</w:t>
            </w:r>
          </w:p>
        </w:tc>
      </w:tr>
      <w:tr w:rsidR="00E465D0" w:rsidRPr="003730C2" w14:paraId="1AC08AFF"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26A512DF"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5D1BEF8"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A97EE48"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19D3738"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5.5</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75C2AF1"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5.3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5E86A52"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8.0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0438E8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0.2</w:t>
            </w:r>
          </w:p>
        </w:tc>
      </w:tr>
      <w:tr w:rsidR="00E465D0" w:rsidRPr="003730C2" w14:paraId="6829422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67A10EF5"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8C7C14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24F307E"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30407E0"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5.4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CAED565"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4.9</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A3D664C"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6.7</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08A63F3"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1.6</w:t>
            </w:r>
          </w:p>
        </w:tc>
      </w:tr>
      <w:tr w:rsidR="00E465D0" w:rsidRPr="003730C2" w14:paraId="4CFA3D40"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1DBF36B"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E15FF2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CEA463E"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295B8DF"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5.6</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4E2490E"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6.7</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8199CA4"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2.8</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99B1179"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13.8</w:t>
            </w:r>
          </w:p>
        </w:tc>
      </w:tr>
      <w:tr w:rsidR="00E465D0" w:rsidRPr="003730C2" w14:paraId="51B4C319"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70CA87A"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BA81D32"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B74EEF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FFF5D0E"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2.2</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2A1C345"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2CCF818"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3.6</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C569C3D"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22DAC093"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EAD8880"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25A57FE"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EEE554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84B8DB7"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2.8</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588AA68"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2.9</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6FE143F"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3.7</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C5BA521"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1.6</w:t>
            </w:r>
          </w:p>
        </w:tc>
      </w:tr>
      <w:tr w:rsidR="00E465D0" w:rsidRPr="003730C2" w14:paraId="7CC747A4"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D1A9C39"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Never</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0E801D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F9C35E2"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6CBD43A"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6.7</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4998698"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6.3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0CD40AB"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1.8</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D36DCF4"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14.3</w:t>
            </w:r>
          </w:p>
        </w:tc>
      </w:tr>
      <w:tr w:rsidR="00E465D0" w:rsidRPr="003730C2" w14:paraId="39958403"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41457F7"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B7F5C19"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FFCFBDA"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756D30E"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2.8</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8EB997A"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2.8</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16BAB8C"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4.3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AA0E59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1A8F4913"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7F647F9"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E33EFF9"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98A1F7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2E5E36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2.3</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851078F"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2.1</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79BD471"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2.9</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0319E35"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0.6</w:t>
            </w:r>
          </w:p>
        </w:tc>
      </w:tr>
      <w:tr w:rsidR="00E465D0" w:rsidRPr="003730C2" w14:paraId="64487406"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5F30E03"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86D2DB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F8031F4"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409415F"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2.2</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21DAA5D"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71D64E4"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DB42DA8"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4.6</w:t>
            </w:r>
          </w:p>
        </w:tc>
      </w:tr>
      <w:tr w:rsidR="00E465D0" w:rsidRPr="003730C2" w14:paraId="7F97AF4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4A97FCE5"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3CDBA8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67A998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85F9B04"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1.6</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6CAC84A"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2.1</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C727E93"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3.2</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F6E9003"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02CD3FEF"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792C6872"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7AFD10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EF2DDD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636962A"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2.3</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72BC7AA"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2.1</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59788B7"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2.8</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164CB05"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0.8</w:t>
            </w:r>
          </w:p>
        </w:tc>
      </w:tr>
      <w:tr w:rsidR="00E465D0" w:rsidRPr="003730C2" w14:paraId="09474914"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71A6162"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A16B0D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38BEAFA"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9C2206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3.8</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76125D9"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3.2</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4F5ABEF"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1.2</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FD1A8D8"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6.8</w:t>
            </w:r>
          </w:p>
        </w:tc>
      </w:tr>
      <w:tr w:rsidR="00E465D0" w:rsidRPr="003730C2" w14:paraId="5F4F4E5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ECB393E"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55FC31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5CCDCD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F42065D"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0.7</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2FB1632"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0.9</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58F521C"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1.4</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364DBCC3"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0A5B2763"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07D6714"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5E82D53"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71FB8C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70141C7"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1.3</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64536B3"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1.2</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8504ED6"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1.5</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BED5177"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0.8</w:t>
            </w:r>
          </w:p>
        </w:tc>
      </w:tr>
      <w:tr w:rsidR="00E465D0" w:rsidRPr="003730C2" w14:paraId="1E48CA56"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6602BCD5"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Monthly to 1 day/week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213163E"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148FA5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7B92084"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4214F48"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3.0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CEB4E9A"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0.8</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A3354CA"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7.0</w:t>
            </w:r>
          </w:p>
        </w:tc>
      </w:tr>
      <w:tr w:rsidR="00E465D0" w:rsidRPr="003730C2" w14:paraId="44EC6DD0"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69870FF2"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D7B946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8F9E774"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630F620"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F5F112D"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D22C664"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0A21920B"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0.0</w:t>
            </w:r>
          </w:p>
        </w:tc>
      </w:tr>
      <w:tr w:rsidR="00E465D0" w:rsidRPr="003730C2" w14:paraId="2609FA5D"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D3D98C8"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F1B10C9"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C5FF0F2"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7AB4C8F"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1A4B8DB"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1.5</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7547829"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2.1</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0E928521"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0.4</w:t>
            </w:r>
          </w:p>
        </w:tc>
      </w:tr>
      <w:tr w:rsidR="00E465D0" w:rsidRPr="003730C2" w14:paraId="4D80DAC0"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67D67E2D"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AB36DA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0814E78"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BAC260A"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1.6</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63C1C4E"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1.5</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B16D1E6"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0.7</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157F3E2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3.0</w:t>
            </w:r>
          </w:p>
        </w:tc>
      </w:tr>
      <w:tr w:rsidR="00E465D0" w:rsidRPr="003730C2" w14:paraId="45CF5E91"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6354DD80"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9C26AF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28E5C0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A6E1BC9"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1.5</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D2CEFA6"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FF26FEC"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2.3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2BC888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352DCC6F"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F6BB652"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23E32D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73248A3"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F1974D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1.7</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EA393CD"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469EE86"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1.9</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0EF0565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0.6</w:t>
            </w:r>
          </w:p>
        </w:tc>
      </w:tr>
      <w:tr w:rsidR="00E465D0" w:rsidRPr="003730C2" w14:paraId="11ABBBF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39087CF7"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5AEE3E1"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168E189"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FA14AD1"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2.2</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9C00C1E"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2.1</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79DACB8"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0.8</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26F7F62C"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4.5</w:t>
            </w:r>
          </w:p>
        </w:tc>
      </w:tr>
      <w:tr w:rsidR="00E465D0" w:rsidRPr="003730C2" w14:paraId="05EA099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456E599"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4B2E385"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DCF1CF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D97EE2C"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0.5</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8990D23"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0.6</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299DAFF"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537335F6"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0.0</w:t>
            </w:r>
          </w:p>
        </w:tc>
      </w:tr>
      <w:tr w:rsidR="00E465D0" w:rsidRPr="003730C2" w14:paraId="21A019C3"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7E7EBCEB"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F22861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A802BC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21B527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0.5</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D36B641"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0.9</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6FAC976"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2E0F7249"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0.5</w:t>
            </w:r>
          </w:p>
        </w:tc>
      </w:tr>
      <w:tr w:rsidR="00E465D0" w:rsidRPr="003730C2" w14:paraId="55C37F6C"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6090D02"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2-3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444BDE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C36E96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1A569E4"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1.8</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1DC1643"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34ED849"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0.5</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2CC6174"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4.5</w:t>
            </w:r>
          </w:p>
        </w:tc>
      </w:tr>
      <w:tr w:rsidR="00E465D0" w:rsidRPr="003730C2" w14:paraId="6F85D4E4"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47FC3BBC"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28C6B8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006A1F1"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97F6A5A"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2.6</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81FC355"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3.0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595560B"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4.5</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1D12A663"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17F98DA8"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7C45201E"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2EE1151"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21B11FE"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38DEE47"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6FB02B0"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6A2F785"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64FEA47F"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0.7</w:t>
            </w:r>
          </w:p>
        </w:tc>
      </w:tr>
      <w:tr w:rsidR="00E465D0" w:rsidRPr="003730C2" w14:paraId="369B628C"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5BBC20A0"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B3C759C"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978D98F"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C3F0E66"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2.9</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4A185BE3"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2.6</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389DE9F"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1.2</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B2E345A"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5.1</w:t>
            </w:r>
          </w:p>
        </w:tc>
      </w:tr>
      <w:tr w:rsidR="00E465D0" w:rsidRPr="003730C2" w14:paraId="3F6877FB"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2206676"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00768ED"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7511E73"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E09DDCB"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1.9</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B8EA18C"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2.2</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9D82171"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387E4FB"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01CF46D2"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25CFA955"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A9FF0DB"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4E7C644"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AAE0E3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26378CA"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2.3</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D1DDB6A"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3.0</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1D7738EB"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1.0</w:t>
            </w:r>
          </w:p>
        </w:tc>
      </w:tr>
      <w:tr w:rsidR="00E465D0" w:rsidRPr="003730C2" w14:paraId="0A4E294A"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07DCA9A7"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7652A76"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F1AC394"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0CDE3B4"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3.4</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5A5292F"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3.4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C29E423"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1.3</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4E220607"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7.6</w:t>
            </w:r>
          </w:p>
        </w:tc>
      </w:tr>
      <w:tr w:rsidR="00E465D0" w:rsidRPr="003730C2" w14:paraId="4BA8B7BA"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7392C130"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00A4F5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6919A1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0-2</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AD118A8"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0.9</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2ABB6A0"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1.0</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08A10E8"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1.4</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BB78CFD"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0.1</w:t>
            </w:r>
          </w:p>
        </w:tc>
      </w:tr>
      <w:tr w:rsidR="00E465D0" w:rsidRPr="003730C2" w14:paraId="52D02867"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229D311D"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371F783"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6310520"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3-5</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619E80BA"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2.1</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18BD5330"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1.4</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22D1654"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1.6</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06BE6FB5"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1.0</w:t>
            </w:r>
          </w:p>
        </w:tc>
      </w:tr>
      <w:tr w:rsidR="00E465D0" w:rsidRPr="003730C2" w14:paraId="553D9FAA" w14:textId="77777777" w:rsidTr="005D4542">
        <w:trPr>
          <w:trHeight w:val="144"/>
        </w:trPr>
        <w:tc>
          <w:tcPr>
            <w:tcW w:w="2240" w:type="dxa"/>
            <w:tcBorders>
              <w:top w:val="nil"/>
              <w:left w:val="double" w:sz="4" w:space="0" w:color="auto"/>
              <w:bottom w:val="single" w:sz="4" w:space="0" w:color="auto"/>
              <w:right w:val="single" w:sz="4" w:space="0" w:color="auto"/>
            </w:tcBorders>
            <w:shd w:val="clear" w:color="auto" w:fill="auto"/>
            <w:noWrap/>
            <w:tcMar>
              <w:left w:w="43" w:type="dxa"/>
              <w:right w:w="43" w:type="dxa"/>
            </w:tcMar>
            <w:vAlign w:val="center"/>
          </w:tcPr>
          <w:p w14:paraId="16AAD35C" w14:textId="77777777" w:rsidR="00E465D0" w:rsidRPr="003730C2" w:rsidRDefault="00E465D0" w:rsidP="003220CB">
            <w:pPr>
              <w:spacing w:after="0"/>
              <w:jc w:val="left"/>
              <w:rPr>
                <w:rFonts w:eastAsia="Times New Roman"/>
                <w:color w:val="000000"/>
                <w:sz w:val="20"/>
                <w:szCs w:val="20"/>
              </w:rPr>
            </w:pPr>
            <w:r w:rsidRPr="003730C2">
              <w:rPr>
                <w:rFonts w:eastAsia="Times New Roman"/>
                <w:color w:val="000000"/>
                <w:sz w:val="20"/>
                <w:szCs w:val="20"/>
              </w:rPr>
              <w:t>4 or more days per week</w:t>
            </w:r>
          </w:p>
        </w:tc>
        <w:tc>
          <w:tcPr>
            <w:tcW w:w="111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27B1F07"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1221"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386228A2" w14:textId="77777777" w:rsidR="00E465D0" w:rsidRPr="003730C2" w:rsidRDefault="00E465D0" w:rsidP="00302827">
            <w:pPr>
              <w:spacing w:after="0"/>
              <w:jc w:val="center"/>
              <w:rPr>
                <w:rFonts w:eastAsia="Times New Roman"/>
                <w:color w:val="000000"/>
                <w:sz w:val="20"/>
                <w:szCs w:val="20"/>
              </w:rPr>
            </w:pPr>
            <w:r w:rsidRPr="003730C2">
              <w:rPr>
                <w:rFonts w:eastAsia="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28BDA792" w14:textId="77777777" w:rsidR="00E465D0" w:rsidRPr="003730C2" w:rsidRDefault="00E465D0" w:rsidP="00AB236A">
            <w:pPr>
              <w:tabs>
                <w:tab w:val="decimal" w:pos="499"/>
              </w:tabs>
              <w:spacing w:after="0"/>
              <w:jc w:val="left"/>
              <w:rPr>
                <w:rFonts w:eastAsia="Times New Roman"/>
                <w:sz w:val="20"/>
                <w:szCs w:val="20"/>
              </w:rPr>
            </w:pPr>
            <w:r w:rsidRPr="003730C2">
              <w:rPr>
                <w:rFonts w:eastAsia="Times New Roman"/>
                <w:sz w:val="20"/>
                <w:szCs w:val="20"/>
              </w:rPr>
              <w:t>2.8</w:t>
            </w:r>
          </w:p>
        </w:tc>
        <w:tc>
          <w:tcPr>
            <w:tcW w:w="1391"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ED241EA" w14:textId="77777777" w:rsidR="00E465D0" w:rsidRPr="003730C2" w:rsidRDefault="00E465D0" w:rsidP="00AB236A">
            <w:pPr>
              <w:tabs>
                <w:tab w:val="decimal" w:pos="680"/>
              </w:tabs>
              <w:spacing w:after="0"/>
              <w:jc w:val="left"/>
              <w:rPr>
                <w:rFonts w:eastAsia="Times New Roman"/>
                <w:sz w:val="20"/>
                <w:szCs w:val="20"/>
              </w:rPr>
            </w:pPr>
            <w:r w:rsidRPr="003730C2">
              <w:rPr>
                <w:rFonts w:eastAsia="Times New Roman"/>
                <w:sz w:val="20"/>
                <w:szCs w:val="20"/>
              </w:rPr>
              <w:t>3.2</w:t>
            </w:r>
          </w:p>
        </w:tc>
        <w:tc>
          <w:tcPr>
            <w:tcW w:w="1399"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3337787D" w14:textId="77777777" w:rsidR="00E465D0" w:rsidRPr="003730C2" w:rsidRDefault="00E465D0" w:rsidP="00AB236A">
            <w:pPr>
              <w:tabs>
                <w:tab w:val="decimal" w:pos="645"/>
              </w:tabs>
              <w:spacing w:after="0"/>
              <w:jc w:val="left"/>
              <w:rPr>
                <w:rFonts w:eastAsia="Times New Roman"/>
                <w:sz w:val="20"/>
                <w:szCs w:val="20"/>
              </w:rPr>
            </w:pPr>
            <w:r w:rsidRPr="003730C2">
              <w:rPr>
                <w:rFonts w:eastAsia="Times New Roman"/>
                <w:sz w:val="20"/>
                <w:szCs w:val="20"/>
              </w:rPr>
              <w:t>0.9</w:t>
            </w:r>
          </w:p>
        </w:tc>
        <w:tc>
          <w:tcPr>
            <w:tcW w:w="1350" w:type="dxa"/>
            <w:tcBorders>
              <w:top w:val="nil"/>
              <w:left w:val="single" w:sz="4" w:space="0" w:color="auto"/>
              <w:bottom w:val="single" w:sz="4" w:space="0" w:color="auto"/>
              <w:right w:val="double" w:sz="4" w:space="0" w:color="auto"/>
            </w:tcBorders>
            <w:tcMar>
              <w:left w:w="43" w:type="dxa"/>
              <w:right w:w="43" w:type="dxa"/>
            </w:tcMar>
            <w:vAlign w:val="center"/>
          </w:tcPr>
          <w:p w14:paraId="72161C03" w14:textId="77777777" w:rsidR="00E465D0" w:rsidRPr="003730C2" w:rsidRDefault="00E465D0" w:rsidP="00AB236A">
            <w:pPr>
              <w:tabs>
                <w:tab w:val="decimal" w:pos="676"/>
              </w:tabs>
              <w:spacing w:after="0"/>
              <w:jc w:val="left"/>
              <w:rPr>
                <w:rFonts w:eastAsia="Times New Roman"/>
                <w:sz w:val="20"/>
                <w:szCs w:val="20"/>
              </w:rPr>
            </w:pPr>
            <w:r w:rsidRPr="003730C2">
              <w:rPr>
                <w:rFonts w:eastAsia="Times New Roman"/>
                <w:sz w:val="20"/>
                <w:szCs w:val="20"/>
              </w:rPr>
              <w:t>7.6</w:t>
            </w:r>
          </w:p>
        </w:tc>
      </w:tr>
      <w:tr w:rsidR="00E465D0" w:rsidRPr="003730C2" w14:paraId="425CCFF8" w14:textId="77777777" w:rsidTr="005D4542">
        <w:trPr>
          <w:trHeight w:val="144"/>
        </w:trPr>
        <w:tc>
          <w:tcPr>
            <w:tcW w:w="5570" w:type="dxa"/>
            <w:gridSpan w:val="4"/>
            <w:tcBorders>
              <w:top w:val="double" w:sz="4" w:space="0" w:color="auto"/>
              <w:left w:val="double" w:sz="4" w:space="0" w:color="auto"/>
              <w:bottom w:val="double" w:sz="4" w:space="0" w:color="auto"/>
              <w:right w:val="single" w:sz="4" w:space="0" w:color="auto"/>
            </w:tcBorders>
            <w:shd w:val="clear" w:color="auto" w:fill="auto"/>
            <w:noWrap/>
            <w:tcMar>
              <w:left w:w="43" w:type="dxa"/>
              <w:right w:w="43" w:type="dxa"/>
            </w:tcMar>
            <w:vAlign w:val="center"/>
            <w:hideMark/>
          </w:tcPr>
          <w:p w14:paraId="38233146" w14:textId="77777777" w:rsidR="00E465D0" w:rsidRPr="003730C2" w:rsidRDefault="00E465D0" w:rsidP="00302827">
            <w:pPr>
              <w:spacing w:after="0"/>
              <w:rPr>
                <w:rFonts w:eastAsia="Times New Roman"/>
                <w:b/>
                <w:color w:val="000000"/>
                <w:sz w:val="20"/>
                <w:szCs w:val="20"/>
              </w:rPr>
            </w:pPr>
            <w:r w:rsidRPr="003730C2">
              <w:rPr>
                <w:rFonts w:eastAsia="Times New Roman"/>
                <w:b/>
                <w:color w:val="000000"/>
                <w:sz w:val="20"/>
                <w:szCs w:val="20"/>
              </w:rPr>
              <w:t>Weighted Absolute Percentage Error (WAPE)</w:t>
            </w:r>
          </w:p>
        </w:tc>
        <w:tc>
          <w:tcPr>
            <w:tcW w:w="1391" w:type="dxa"/>
            <w:tcBorders>
              <w:top w:val="double" w:sz="4" w:space="0" w:color="auto"/>
              <w:left w:val="nil"/>
              <w:bottom w:val="double" w:sz="4" w:space="0" w:color="auto"/>
              <w:right w:val="single" w:sz="4" w:space="0" w:color="auto"/>
            </w:tcBorders>
            <w:shd w:val="clear" w:color="auto" w:fill="auto"/>
            <w:noWrap/>
            <w:tcMar>
              <w:left w:w="43" w:type="dxa"/>
              <w:right w:w="43" w:type="dxa"/>
            </w:tcMar>
            <w:vAlign w:val="center"/>
          </w:tcPr>
          <w:p w14:paraId="39260F37" w14:textId="77777777" w:rsidR="00E465D0" w:rsidRPr="003730C2" w:rsidRDefault="00E465D0" w:rsidP="00AB236A">
            <w:pPr>
              <w:tabs>
                <w:tab w:val="decimal" w:pos="680"/>
              </w:tabs>
              <w:spacing w:after="0"/>
              <w:jc w:val="left"/>
              <w:rPr>
                <w:rFonts w:eastAsia="Times New Roman"/>
                <w:b/>
                <w:color w:val="000000"/>
                <w:sz w:val="20"/>
                <w:szCs w:val="20"/>
              </w:rPr>
            </w:pPr>
            <w:r w:rsidRPr="003730C2">
              <w:rPr>
                <w:rFonts w:eastAsia="Times New Roman"/>
                <w:color w:val="000000"/>
                <w:sz w:val="20"/>
                <w:szCs w:val="20"/>
              </w:rPr>
              <w:t>11.5</w:t>
            </w:r>
          </w:p>
        </w:tc>
        <w:tc>
          <w:tcPr>
            <w:tcW w:w="1399" w:type="dxa"/>
            <w:tcBorders>
              <w:top w:val="double" w:sz="4" w:space="0" w:color="auto"/>
              <w:left w:val="nil"/>
              <w:bottom w:val="double" w:sz="4" w:space="0" w:color="auto"/>
              <w:right w:val="single" w:sz="4" w:space="0" w:color="auto"/>
            </w:tcBorders>
            <w:shd w:val="clear" w:color="auto" w:fill="auto"/>
            <w:noWrap/>
            <w:tcMar>
              <w:left w:w="43" w:type="dxa"/>
              <w:right w:w="43" w:type="dxa"/>
            </w:tcMar>
            <w:vAlign w:val="center"/>
          </w:tcPr>
          <w:p w14:paraId="04228115" w14:textId="77777777" w:rsidR="00E465D0" w:rsidRPr="003730C2" w:rsidRDefault="00E465D0" w:rsidP="00AB236A">
            <w:pPr>
              <w:tabs>
                <w:tab w:val="decimal" w:pos="645"/>
              </w:tabs>
              <w:spacing w:after="0"/>
              <w:jc w:val="left"/>
              <w:rPr>
                <w:rFonts w:eastAsia="Times New Roman"/>
                <w:b/>
                <w:color w:val="000000"/>
                <w:sz w:val="20"/>
                <w:szCs w:val="20"/>
              </w:rPr>
            </w:pPr>
            <w:r w:rsidRPr="003730C2">
              <w:rPr>
                <w:rFonts w:eastAsia="Times New Roman"/>
                <w:color w:val="000000"/>
                <w:sz w:val="20"/>
                <w:szCs w:val="20"/>
              </w:rPr>
              <w:t>51.1</w:t>
            </w:r>
          </w:p>
        </w:tc>
        <w:tc>
          <w:tcPr>
            <w:tcW w:w="1350" w:type="dxa"/>
            <w:tcBorders>
              <w:top w:val="double" w:sz="4" w:space="0" w:color="auto"/>
              <w:left w:val="single" w:sz="4" w:space="0" w:color="auto"/>
              <w:bottom w:val="double" w:sz="4" w:space="0" w:color="auto"/>
              <w:right w:val="double" w:sz="4" w:space="0" w:color="auto"/>
            </w:tcBorders>
            <w:tcMar>
              <w:left w:w="43" w:type="dxa"/>
              <w:right w:w="43" w:type="dxa"/>
            </w:tcMar>
            <w:vAlign w:val="center"/>
          </w:tcPr>
          <w:p w14:paraId="3ABEBCC6" w14:textId="77777777" w:rsidR="00E465D0" w:rsidRPr="003730C2" w:rsidRDefault="00E465D0" w:rsidP="00AB236A">
            <w:pPr>
              <w:tabs>
                <w:tab w:val="decimal" w:pos="676"/>
              </w:tabs>
              <w:spacing w:after="0"/>
              <w:jc w:val="left"/>
              <w:rPr>
                <w:rFonts w:eastAsia="Times New Roman"/>
                <w:b/>
                <w:color w:val="000000"/>
                <w:sz w:val="20"/>
                <w:szCs w:val="20"/>
              </w:rPr>
            </w:pPr>
            <w:r w:rsidRPr="003730C2">
              <w:rPr>
                <w:rFonts w:eastAsia="Times New Roman"/>
                <w:color w:val="000000"/>
                <w:sz w:val="20"/>
                <w:szCs w:val="20"/>
              </w:rPr>
              <w:t>95.1</w:t>
            </w:r>
          </w:p>
        </w:tc>
      </w:tr>
    </w:tbl>
    <w:p w14:paraId="7BF4C42C" w14:textId="2DB7AD6D" w:rsidR="002248E4" w:rsidRPr="00E465D0" w:rsidRDefault="002248E4" w:rsidP="00E465D0">
      <w:pPr>
        <w:sectPr w:rsidR="002248E4" w:rsidRPr="00E465D0" w:rsidSect="00FD7F94">
          <w:pgSz w:w="12240" w:h="15840"/>
          <w:pgMar w:top="1440" w:right="1440" w:bottom="1440" w:left="1440" w:header="720" w:footer="720" w:gutter="0"/>
          <w:cols w:space="720"/>
          <w:docGrid w:linePitch="360"/>
        </w:sectPr>
      </w:pPr>
    </w:p>
    <w:tbl>
      <w:tblPr>
        <w:tblStyle w:val="TableGrid"/>
        <w:tblpPr w:leftFromText="180" w:rightFromText="180" w:horzAnchor="margin" w:tblpY="360"/>
        <w:tblW w:w="13485" w:type="dxa"/>
        <w:tblLayout w:type="fixed"/>
        <w:tblLook w:val="04A0" w:firstRow="1" w:lastRow="0" w:firstColumn="1" w:lastColumn="0" w:noHBand="0" w:noVBand="1"/>
      </w:tblPr>
      <w:tblGrid>
        <w:gridCol w:w="985"/>
        <w:gridCol w:w="1260"/>
        <w:gridCol w:w="936"/>
        <w:gridCol w:w="937"/>
        <w:gridCol w:w="937"/>
        <w:gridCol w:w="936"/>
        <w:gridCol w:w="937"/>
        <w:gridCol w:w="937"/>
        <w:gridCol w:w="936"/>
        <w:gridCol w:w="937"/>
        <w:gridCol w:w="937"/>
        <w:gridCol w:w="936"/>
        <w:gridCol w:w="937"/>
        <w:gridCol w:w="937"/>
      </w:tblGrid>
      <w:tr w:rsidR="007D67AC" w:rsidRPr="00E465D0" w14:paraId="34EFD877" w14:textId="77777777" w:rsidTr="00717E29">
        <w:trPr>
          <w:trHeight w:val="288"/>
        </w:trPr>
        <w:tc>
          <w:tcPr>
            <w:tcW w:w="2245" w:type="dxa"/>
            <w:gridSpan w:val="2"/>
            <w:tcBorders>
              <w:top w:val="double" w:sz="4" w:space="0" w:color="auto"/>
              <w:left w:val="double" w:sz="4" w:space="0" w:color="auto"/>
              <w:bottom w:val="double" w:sz="4" w:space="0" w:color="auto"/>
              <w:right w:val="double" w:sz="4" w:space="0" w:color="auto"/>
            </w:tcBorders>
          </w:tcPr>
          <w:p w14:paraId="7816B7A7" w14:textId="77777777" w:rsidR="007D67AC" w:rsidRPr="00E465D0" w:rsidRDefault="007D67AC" w:rsidP="00302827">
            <w:pPr>
              <w:rPr>
                <w:sz w:val="18"/>
                <w:szCs w:val="18"/>
              </w:rPr>
            </w:pPr>
            <w:r w:rsidRPr="00E465D0">
              <w:rPr>
                <w:sz w:val="18"/>
                <w:szCs w:val="18"/>
              </w:rPr>
              <w:lastRenderedPageBreak/>
              <w:t>Variable Category</w:t>
            </w:r>
          </w:p>
        </w:tc>
        <w:tc>
          <w:tcPr>
            <w:tcW w:w="3746" w:type="dxa"/>
            <w:gridSpan w:val="4"/>
            <w:vMerge w:val="restart"/>
            <w:tcBorders>
              <w:top w:val="double" w:sz="4" w:space="0" w:color="auto"/>
              <w:left w:val="double" w:sz="4" w:space="0" w:color="auto"/>
              <w:right w:val="double" w:sz="4" w:space="0" w:color="auto"/>
            </w:tcBorders>
            <w:vAlign w:val="center"/>
          </w:tcPr>
          <w:p w14:paraId="03F4CD37" w14:textId="4A841C50" w:rsidR="007D67AC" w:rsidRPr="00E465D0" w:rsidRDefault="007D67AC" w:rsidP="004A51D9">
            <w:pPr>
              <w:jc w:val="center"/>
              <w:rPr>
                <w:sz w:val="18"/>
                <w:szCs w:val="18"/>
              </w:rPr>
            </w:pPr>
            <w:r w:rsidRPr="00E465D0">
              <w:rPr>
                <w:sz w:val="20"/>
                <w:szCs w:val="20"/>
              </w:rPr>
              <w:t>Female, non-mother</w:t>
            </w:r>
          </w:p>
        </w:tc>
        <w:tc>
          <w:tcPr>
            <w:tcW w:w="3747" w:type="dxa"/>
            <w:gridSpan w:val="4"/>
            <w:vMerge w:val="restart"/>
            <w:tcBorders>
              <w:top w:val="double" w:sz="4" w:space="0" w:color="auto"/>
              <w:left w:val="double" w:sz="4" w:space="0" w:color="auto"/>
              <w:right w:val="double" w:sz="4" w:space="0" w:color="auto"/>
            </w:tcBorders>
            <w:vAlign w:val="center"/>
          </w:tcPr>
          <w:p w14:paraId="617166A2" w14:textId="41FF0E2E" w:rsidR="007D67AC" w:rsidRPr="00E465D0" w:rsidRDefault="007D67AC" w:rsidP="00A67188">
            <w:pPr>
              <w:jc w:val="center"/>
              <w:rPr>
                <w:sz w:val="18"/>
                <w:szCs w:val="18"/>
              </w:rPr>
            </w:pPr>
            <w:r w:rsidRPr="00E465D0">
              <w:rPr>
                <w:sz w:val="20"/>
                <w:szCs w:val="20"/>
              </w:rPr>
              <w:t>Single mother</w:t>
            </w:r>
          </w:p>
        </w:tc>
        <w:tc>
          <w:tcPr>
            <w:tcW w:w="3747" w:type="dxa"/>
            <w:gridSpan w:val="4"/>
            <w:vMerge w:val="restart"/>
            <w:tcBorders>
              <w:top w:val="double" w:sz="4" w:space="0" w:color="auto"/>
              <w:left w:val="double" w:sz="4" w:space="0" w:color="auto"/>
              <w:right w:val="double" w:sz="4" w:space="0" w:color="auto"/>
            </w:tcBorders>
            <w:vAlign w:val="center"/>
          </w:tcPr>
          <w:p w14:paraId="1A90829F" w14:textId="6D2FDAE6" w:rsidR="007D67AC" w:rsidRPr="00E465D0" w:rsidRDefault="007D67AC" w:rsidP="00717E29">
            <w:pPr>
              <w:jc w:val="center"/>
              <w:rPr>
                <w:sz w:val="18"/>
                <w:szCs w:val="18"/>
              </w:rPr>
            </w:pPr>
            <w:r w:rsidRPr="00E465D0">
              <w:rPr>
                <w:sz w:val="20"/>
                <w:szCs w:val="20"/>
              </w:rPr>
              <w:t>Male</w:t>
            </w:r>
          </w:p>
        </w:tc>
      </w:tr>
      <w:tr w:rsidR="007D67AC" w:rsidRPr="00E465D0" w14:paraId="335C774A" w14:textId="77777777" w:rsidTr="00717E29">
        <w:trPr>
          <w:trHeight w:val="288"/>
        </w:trPr>
        <w:tc>
          <w:tcPr>
            <w:tcW w:w="985" w:type="dxa"/>
            <w:vMerge w:val="restart"/>
            <w:tcBorders>
              <w:top w:val="double" w:sz="4" w:space="0" w:color="auto"/>
              <w:left w:val="double" w:sz="4" w:space="0" w:color="auto"/>
              <w:bottom w:val="single" w:sz="4" w:space="0" w:color="auto"/>
            </w:tcBorders>
            <w:vAlign w:val="center"/>
          </w:tcPr>
          <w:p w14:paraId="70502ABD" w14:textId="77777777" w:rsidR="007D67AC" w:rsidRPr="00E465D0" w:rsidRDefault="007D67AC" w:rsidP="00302827">
            <w:pPr>
              <w:jc w:val="center"/>
              <w:rPr>
                <w:sz w:val="18"/>
                <w:szCs w:val="18"/>
              </w:rPr>
            </w:pPr>
            <w:r w:rsidRPr="00E465D0">
              <w:rPr>
                <w:sz w:val="18"/>
                <w:szCs w:val="18"/>
              </w:rPr>
              <w:t>Gendered Lifecycle</w:t>
            </w:r>
          </w:p>
        </w:tc>
        <w:tc>
          <w:tcPr>
            <w:tcW w:w="1260" w:type="dxa"/>
            <w:tcBorders>
              <w:top w:val="double" w:sz="4" w:space="0" w:color="auto"/>
              <w:right w:val="double" w:sz="4" w:space="0" w:color="auto"/>
            </w:tcBorders>
            <w:vAlign w:val="center"/>
          </w:tcPr>
          <w:p w14:paraId="4E8488E0" w14:textId="77777777" w:rsidR="007D67AC" w:rsidRPr="00E465D0" w:rsidRDefault="007D67AC" w:rsidP="00302827">
            <w:pPr>
              <w:rPr>
                <w:sz w:val="18"/>
                <w:szCs w:val="18"/>
              </w:rPr>
            </w:pPr>
            <w:r w:rsidRPr="00E465D0">
              <w:rPr>
                <w:sz w:val="18"/>
                <w:szCs w:val="18"/>
              </w:rPr>
              <w:t>Categories</w:t>
            </w:r>
          </w:p>
        </w:tc>
        <w:tc>
          <w:tcPr>
            <w:tcW w:w="3746" w:type="dxa"/>
            <w:gridSpan w:val="4"/>
            <w:vMerge/>
            <w:tcBorders>
              <w:left w:val="double" w:sz="4" w:space="0" w:color="auto"/>
              <w:right w:val="double" w:sz="4" w:space="0" w:color="auto"/>
            </w:tcBorders>
            <w:vAlign w:val="center"/>
          </w:tcPr>
          <w:p w14:paraId="4D83C8B9" w14:textId="29A32936" w:rsidR="007D67AC" w:rsidRPr="00E465D0" w:rsidRDefault="007D67AC" w:rsidP="00302827">
            <w:pPr>
              <w:jc w:val="center"/>
              <w:rPr>
                <w:sz w:val="20"/>
                <w:szCs w:val="20"/>
              </w:rPr>
            </w:pPr>
          </w:p>
        </w:tc>
        <w:tc>
          <w:tcPr>
            <w:tcW w:w="3747" w:type="dxa"/>
            <w:gridSpan w:val="4"/>
            <w:vMerge/>
            <w:tcBorders>
              <w:left w:val="double" w:sz="4" w:space="0" w:color="auto"/>
              <w:right w:val="double" w:sz="4" w:space="0" w:color="auto"/>
            </w:tcBorders>
            <w:vAlign w:val="center"/>
          </w:tcPr>
          <w:p w14:paraId="53B848C2" w14:textId="612E22EF" w:rsidR="007D67AC" w:rsidRPr="00E465D0" w:rsidRDefault="007D67AC" w:rsidP="00302827">
            <w:pPr>
              <w:jc w:val="center"/>
              <w:rPr>
                <w:sz w:val="20"/>
                <w:szCs w:val="20"/>
              </w:rPr>
            </w:pPr>
          </w:p>
        </w:tc>
        <w:tc>
          <w:tcPr>
            <w:tcW w:w="3747" w:type="dxa"/>
            <w:gridSpan w:val="4"/>
            <w:vMerge/>
            <w:tcBorders>
              <w:left w:val="double" w:sz="4" w:space="0" w:color="auto"/>
              <w:right w:val="double" w:sz="4" w:space="0" w:color="auto"/>
            </w:tcBorders>
            <w:vAlign w:val="center"/>
          </w:tcPr>
          <w:p w14:paraId="5FCC155D" w14:textId="455F1EDD" w:rsidR="007D67AC" w:rsidRPr="00E465D0" w:rsidRDefault="007D67AC" w:rsidP="00302827">
            <w:pPr>
              <w:jc w:val="center"/>
              <w:rPr>
                <w:sz w:val="20"/>
                <w:szCs w:val="20"/>
              </w:rPr>
            </w:pPr>
          </w:p>
        </w:tc>
      </w:tr>
      <w:tr w:rsidR="00E465D0" w:rsidRPr="00E465D0" w14:paraId="70B3C152"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7D5917F0" w14:textId="77777777" w:rsidR="00E465D0" w:rsidRPr="00E465D0" w:rsidRDefault="00E465D0" w:rsidP="00302827">
            <w:pPr>
              <w:jc w:val="center"/>
              <w:rPr>
                <w:sz w:val="18"/>
                <w:szCs w:val="18"/>
              </w:rPr>
            </w:pPr>
          </w:p>
        </w:tc>
        <w:tc>
          <w:tcPr>
            <w:tcW w:w="1260" w:type="dxa"/>
            <w:vMerge w:val="restart"/>
            <w:tcBorders>
              <w:right w:val="double" w:sz="4" w:space="0" w:color="auto"/>
            </w:tcBorders>
          </w:tcPr>
          <w:p w14:paraId="5DF84C05" w14:textId="77777777" w:rsidR="00E465D0" w:rsidRPr="00E465D0" w:rsidRDefault="00E465D0" w:rsidP="00302827">
            <w:pPr>
              <w:rPr>
                <w:sz w:val="18"/>
                <w:szCs w:val="18"/>
              </w:rPr>
            </w:pPr>
            <w:r w:rsidRPr="00E465D0">
              <w:rPr>
                <w:sz w:val="18"/>
                <w:szCs w:val="18"/>
              </w:rPr>
              <w:t>Nonwork Purpose</w:t>
            </w:r>
          </w:p>
        </w:tc>
        <w:tc>
          <w:tcPr>
            <w:tcW w:w="1873" w:type="dxa"/>
            <w:gridSpan w:val="2"/>
            <w:tcBorders>
              <w:left w:val="double" w:sz="4" w:space="0" w:color="auto"/>
              <w:right w:val="single" w:sz="12" w:space="0" w:color="auto"/>
            </w:tcBorders>
            <w:shd w:val="clear" w:color="auto" w:fill="D9D9D9" w:themeFill="background1" w:themeFillShade="D9"/>
            <w:vAlign w:val="bottom"/>
          </w:tcPr>
          <w:p w14:paraId="19894325" w14:textId="77777777" w:rsidR="00E465D0" w:rsidRPr="00E465D0" w:rsidRDefault="00E465D0" w:rsidP="00302827">
            <w:pPr>
              <w:jc w:val="center"/>
              <w:rPr>
                <w:sz w:val="18"/>
                <w:szCs w:val="18"/>
              </w:rPr>
            </w:pPr>
            <w:r w:rsidRPr="00E465D0">
              <w:rPr>
                <w:sz w:val="18"/>
                <w:szCs w:val="18"/>
              </w:rPr>
              <w:t>Maintenance Stops</w:t>
            </w:r>
          </w:p>
        </w:tc>
        <w:tc>
          <w:tcPr>
            <w:tcW w:w="1873" w:type="dxa"/>
            <w:gridSpan w:val="2"/>
            <w:tcBorders>
              <w:left w:val="single" w:sz="12" w:space="0" w:color="auto"/>
              <w:right w:val="double" w:sz="4" w:space="0" w:color="auto"/>
            </w:tcBorders>
            <w:vAlign w:val="bottom"/>
          </w:tcPr>
          <w:p w14:paraId="41E1A86D" w14:textId="77777777" w:rsidR="00E465D0" w:rsidRPr="00E465D0" w:rsidRDefault="00E465D0" w:rsidP="00302827">
            <w:pPr>
              <w:jc w:val="center"/>
              <w:rPr>
                <w:sz w:val="18"/>
                <w:szCs w:val="18"/>
              </w:rPr>
            </w:pPr>
            <w:r w:rsidRPr="00E465D0">
              <w:rPr>
                <w:sz w:val="18"/>
                <w:szCs w:val="18"/>
              </w:rPr>
              <w:t>Leisure Stops</w:t>
            </w:r>
          </w:p>
        </w:tc>
        <w:tc>
          <w:tcPr>
            <w:tcW w:w="1874" w:type="dxa"/>
            <w:gridSpan w:val="2"/>
            <w:tcBorders>
              <w:left w:val="double" w:sz="4" w:space="0" w:color="auto"/>
              <w:right w:val="single" w:sz="12" w:space="0" w:color="auto"/>
            </w:tcBorders>
            <w:shd w:val="clear" w:color="auto" w:fill="D9D9D9" w:themeFill="background1" w:themeFillShade="D9"/>
            <w:vAlign w:val="bottom"/>
          </w:tcPr>
          <w:p w14:paraId="09072A1A" w14:textId="77777777" w:rsidR="00E465D0" w:rsidRPr="00E465D0" w:rsidRDefault="00E465D0" w:rsidP="00302827">
            <w:pPr>
              <w:jc w:val="center"/>
              <w:rPr>
                <w:sz w:val="18"/>
                <w:szCs w:val="18"/>
              </w:rPr>
            </w:pPr>
            <w:r w:rsidRPr="00E465D0">
              <w:rPr>
                <w:sz w:val="18"/>
                <w:szCs w:val="18"/>
              </w:rPr>
              <w:t>Maintenance Stops</w:t>
            </w:r>
          </w:p>
        </w:tc>
        <w:tc>
          <w:tcPr>
            <w:tcW w:w="1873" w:type="dxa"/>
            <w:gridSpan w:val="2"/>
            <w:tcBorders>
              <w:left w:val="single" w:sz="12" w:space="0" w:color="auto"/>
              <w:right w:val="double" w:sz="4" w:space="0" w:color="auto"/>
            </w:tcBorders>
            <w:vAlign w:val="bottom"/>
          </w:tcPr>
          <w:p w14:paraId="72E6EC60" w14:textId="77777777" w:rsidR="00E465D0" w:rsidRPr="00E465D0" w:rsidRDefault="00E465D0" w:rsidP="00302827">
            <w:pPr>
              <w:jc w:val="center"/>
              <w:rPr>
                <w:sz w:val="18"/>
                <w:szCs w:val="18"/>
              </w:rPr>
            </w:pPr>
            <w:r w:rsidRPr="00E465D0">
              <w:rPr>
                <w:sz w:val="18"/>
                <w:szCs w:val="18"/>
              </w:rPr>
              <w:t>Leisure Stops</w:t>
            </w:r>
          </w:p>
        </w:tc>
        <w:tc>
          <w:tcPr>
            <w:tcW w:w="1873" w:type="dxa"/>
            <w:gridSpan w:val="2"/>
            <w:tcBorders>
              <w:left w:val="double" w:sz="4" w:space="0" w:color="auto"/>
              <w:right w:val="single" w:sz="12" w:space="0" w:color="auto"/>
            </w:tcBorders>
            <w:shd w:val="clear" w:color="auto" w:fill="D9D9D9" w:themeFill="background1" w:themeFillShade="D9"/>
            <w:vAlign w:val="bottom"/>
          </w:tcPr>
          <w:p w14:paraId="20072347" w14:textId="77777777" w:rsidR="00E465D0" w:rsidRPr="00E465D0" w:rsidRDefault="00E465D0" w:rsidP="00302827">
            <w:pPr>
              <w:jc w:val="center"/>
              <w:rPr>
                <w:sz w:val="18"/>
                <w:szCs w:val="18"/>
              </w:rPr>
            </w:pPr>
            <w:r w:rsidRPr="00E465D0">
              <w:rPr>
                <w:sz w:val="18"/>
                <w:szCs w:val="18"/>
              </w:rPr>
              <w:t>Maintenance Stops</w:t>
            </w:r>
          </w:p>
        </w:tc>
        <w:tc>
          <w:tcPr>
            <w:tcW w:w="1874" w:type="dxa"/>
            <w:gridSpan w:val="2"/>
            <w:tcBorders>
              <w:left w:val="single" w:sz="12" w:space="0" w:color="auto"/>
              <w:right w:val="double" w:sz="4" w:space="0" w:color="auto"/>
            </w:tcBorders>
            <w:vAlign w:val="bottom"/>
          </w:tcPr>
          <w:p w14:paraId="4CE10CC5" w14:textId="77777777" w:rsidR="00E465D0" w:rsidRPr="00E465D0" w:rsidRDefault="00E465D0" w:rsidP="00302827">
            <w:pPr>
              <w:jc w:val="center"/>
              <w:rPr>
                <w:sz w:val="18"/>
                <w:szCs w:val="18"/>
              </w:rPr>
            </w:pPr>
            <w:r w:rsidRPr="00E465D0">
              <w:rPr>
                <w:sz w:val="18"/>
                <w:szCs w:val="18"/>
              </w:rPr>
              <w:t>Leisure Stops</w:t>
            </w:r>
          </w:p>
        </w:tc>
      </w:tr>
      <w:tr w:rsidR="00E465D0" w:rsidRPr="00E465D0" w14:paraId="23600A73"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B0C6C3D" w14:textId="77777777" w:rsidR="00E465D0" w:rsidRPr="00E465D0" w:rsidRDefault="00E465D0" w:rsidP="00302827">
            <w:pPr>
              <w:jc w:val="center"/>
              <w:rPr>
                <w:sz w:val="20"/>
                <w:szCs w:val="20"/>
              </w:rPr>
            </w:pPr>
          </w:p>
        </w:tc>
        <w:tc>
          <w:tcPr>
            <w:tcW w:w="1260" w:type="dxa"/>
            <w:vMerge/>
            <w:tcBorders>
              <w:bottom w:val="single" w:sz="12" w:space="0" w:color="auto"/>
              <w:right w:val="double" w:sz="4" w:space="0" w:color="auto"/>
            </w:tcBorders>
          </w:tcPr>
          <w:p w14:paraId="66A126F7" w14:textId="77777777" w:rsidR="00E465D0" w:rsidRPr="00E465D0" w:rsidRDefault="00E465D0" w:rsidP="00302827">
            <w:pPr>
              <w:rPr>
                <w:sz w:val="18"/>
                <w:szCs w:val="18"/>
              </w:rPr>
            </w:pPr>
          </w:p>
        </w:tc>
        <w:tc>
          <w:tcPr>
            <w:tcW w:w="936" w:type="dxa"/>
            <w:tcBorders>
              <w:left w:val="double" w:sz="4" w:space="0" w:color="auto"/>
              <w:bottom w:val="single" w:sz="12" w:space="0" w:color="auto"/>
            </w:tcBorders>
            <w:shd w:val="clear" w:color="auto" w:fill="D9D9D9" w:themeFill="background1" w:themeFillShade="D9"/>
            <w:vAlign w:val="bottom"/>
          </w:tcPr>
          <w:p w14:paraId="4F60C485"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bottom w:val="single" w:sz="12" w:space="0" w:color="auto"/>
              <w:right w:val="single" w:sz="12" w:space="0" w:color="auto"/>
            </w:tcBorders>
            <w:shd w:val="clear" w:color="auto" w:fill="D9D9D9" w:themeFill="background1" w:themeFillShade="D9"/>
          </w:tcPr>
          <w:p w14:paraId="4E6006A5"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12" w:space="0" w:color="auto"/>
              <w:bottom w:val="single" w:sz="12" w:space="0" w:color="auto"/>
            </w:tcBorders>
            <w:vAlign w:val="bottom"/>
          </w:tcPr>
          <w:p w14:paraId="54EBCA19"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double" w:sz="4" w:space="0" w:color="auto"/>
            </w:tcBorders>
          </w:tcPr>
          <w:p w14:paraId="74B4F8F8"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double" w:sz="4" w:space="0" w:color="auto"/>
              <w:bottom w:val="single" w:sz="12" w:space="0" w:color="auto"/>
              <w:right w:val="single" w:sz="4" w:space="0" w:color="auto"/>
            </w:tcBorders>
            <w:shd w:val="clear" w:color="auto" w:fill="D9D9D9" w:themeFill="background1" w:themeFillShade="D9"/>
            <w:vAlign w:val="bottom"/>
          </w:tcPr>
          <w:p w14:paraId="5DC044C4"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single" w:sz="12" w:space="0" w:color="auto"/>
            </w:tcBorders>
            <w:shd w:val="clear" w:color="auto" w:fill="D9D9D9" w:themeFill="background1" w:themeFillShade="D9"/>
          </w:tcPr>
          <w:p w14:paraId="341B0B04" w14:textId="77777777" w:rsidR="00E465D0" w:rsidRPr="00E465D0" w:rsidRDefault="00E465D0" w:rsidP="00302827">
            <w:pPr>
              <w:jc w:val="center"/>
              <w:rPr>
                <w:sz w:val="18"/>
                <w:szCs w:val="18"/>
              </w:rPr>
            </w:pPr>
            <w:r w:rsidRPr="00E465D0">
              <w:rPr>
                <w:sz w:val="18"/>
                <w:szCs w:val="18"/>
              </w:rPr>
              <w:t>% Change from “Never” Teleworking</w:t>
            </w:r>
          </w:p>
        </w:tc>
        <w:tc>
          <w:tcPr>
            <w:tcW w:w="936" w:type="dxa"/>
            <w:tcBorders>
              <w:left w:val="single" w:sz="12" w:space="0" w:color="auto"/>
              <w:bottom w:val="single" w:sz="12" w:space="0" w:color="auto"/>
              <w:right w:val="single" w:sz="4" w:space="0" w:color="auto"/>
            </w:tcBorders>
            <w:vAlign w:val="bottom"/>
          </w:tcPr>
          <w:p w14:paraId="0C825CF1"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double" w:sz="4" w:space="0" w:color="auto"/>
            </w:tcBorders>
          </w:tcPr>
          <w:p w14:paraId="00343DC8"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double" w:sz="4" w:space="0" w:color="auto"/>
              <w:bottom w:val="single" w:sz="12" w:space="0" w:color="auto"/>
            </w:tcBorders>
            <w:shd w:val="clear" w:color="auto" w:fill="D9D9D9" w:themeFill="background1" w:themeFillShade="D9"/>
            <w:vAlign w:val="bottom"/>
          </w:tcPr>
          <w:p w14:paraId="6F32C5EB"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single" w:sz="12" w:space="0" w:color="auto"/>
            </w:tcBorders>
            <w:shd w:val="clear" w:color="auto" w:fill="D9D9D9" w:themeFill="background1" w:themeFillShade="D9"/>
          </w:tcPr>
          <w:p w14:paraId="09DFC548"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12" w:space="0" w:color="auto"/>
              <w:bottom w:val="single" w:sz="12" w:space="0" w:color="auto"/>
              <w:right w:val="single" w:sz="4" w:space="0" w:color="auto"/>
            </w:tcBorders>
            <w:vAlign w:val="bottom"/>
          </w:tcPr>
          <w:p w14:paraId="68A01539"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double" w:sz="4" w:space="0" w:color="auto"/>
            </w:tcBorders>
          </w:tcPr>
          <w:p w14:paraId="605B2324" w14:textId="77777777" w:rsidR="00E465D0" w:rsidRPr="00E465D0" w:rsidRDefault="00E465D0" w:rsidP="00302827">
            <w:pPr>
              <w:jc w:val="center"/>
              <w:rPr>
                <w:sz w:val="18"/>
                <w:szCs w:val="18"/>
              </w:rPr>
            </w:pPr>
            <w:r w:rsidRPr="00E465D0">
              <w:rPr>
                <w:sz w:val="18"/>
                <w:szCs w:val="18"/>
              </w:rPr>
              <w:t>% Change from “Never” Teleworking</w:t>
            </w:r>
          </w:p>
        </w:tc>
      </w:tr>
      <w:tr w:rsidR="00E465D0" w:rsidRPr="00E465D0" w14:paraId="0D3B433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67DA69C" w14:textId="77777777" w:rsidR="00E465D0" w:rsidRPr="00E465D0" w:rsidRDefault="00E465D0" w:rsidP="00302827">
            <w:pPr>
              <w:jc w:val="center"/>
              <w:rPr>
                <w:sz w:val="20"/>
                <w:szCs w:val="20"/>
              </w:rPr>
            </w:pPr>
          </w:p>
        </w:tc>
        <w:tc>
          <w:tcPr>
            <w:tcW w:w="1260" w:type="dxa"/>
            <w:tcBorders>
              <w:top w:val="single" w:sz="12" w:space="0" w:color="auto"/>
              <w:right w:val="double" w:sz="4" w:space="0" w:color="auto"/>
            </w:tcBorders>
          </w:tcPr>
          <w:p w14:paraId="0D6D776E" w14:textId="77777777" w:rsidR="00E465D0" w:rsidRPr="00E465D0" w:rsidRDefault="00E465D0" w:rsidP="00302827">
            <w:pPr>
              <w:rPr>
                <w:sz w:val="18"/>
                <w:szCs w:val="18"/>
              </w:rPr>
            </w:pPr>
            <w:r w:rsidRPr="00E465D0">
              <w:rPr>
                <w:sz w:val="18"/>
                <w:szCs w:val="18"/>
              </w:rPr>
              <w:t>Never</w:t>
            </w:r>
          </w:p>
        </w:tc>
        <w:tc>
          <w:tcPr>
            <w:tcW w:w="936" w:type="dxa"/>
            <w:tcBorders>
              <w:top w:val="single" w:sz="12" w:space="0" w:color="auto"/>
              <w:left w:val="double" w:sz="4" w:space="0" w:color="auto"/>
            </w:tcBorders>
            <w:shd w:val="clear" w:color="auto" w:fill="D9D9D9" w:themeFill="background1" w:themeFillShade="D9"/>
            <w:vAlign w:val="bottom"/>
          </w:tcPr>
          <w:p w14:paraId="3B8B78C0" w14:textId="77777777" w:rsidR="00E465D0" w:rsidRPr="005D4542" w:rsidRDefault="00E465D0" w:rsidP="00302827">
            <w:pPr>
              <w:jc w:val="right"/>
              <w:rPr>
                <w:sz w:val="20"/>
                <w:szCs w:val="20"/>
              </w:rPr>
            </w:pPr>
            <w:r w:rsidRPr="005D4542">
              <w:rPr>
                <w:sz w:val="20"/>
                <w:szCs w:val="20"/>
              </w:rPr>
              <w:t>4.03</w:t>
            </w:r>
          </w:p>
        </w:tc>
        <w:tc>
          <w:tcPr>
            <w:tcW w:w="937" w:type="dxa"/>
            <w:tcBorders>
              <w:top w:val="single" w:sz="12" w:space="0" w:color="auto"/>
              <w:right w:val="single" w:sz="12" w:space="0" w:color="auto"/>
            </w:tcBorders>
            <w:shd w:val="clear" w:color="auto" w:fill="D9D9D9" w:themeFill="background1" w:themeFillShade="D9"/>
            <w:vAlign w:val="bottom"/>
          </w:tcPr>
          <w:p w14:paraId="70A423A8" w14:textId="77777777" w:rsidR="00E465D0" w:rsidRPr="005D4542" w:rsidRDefault="00E465D0" w:rsidP="00302827">
            <w:pPr>
              <w:jc w:val="right"/>
              <w:rPr>
                <w:sz w:val="20"/>
                <w:szCs w:val="20"/>
              </w:rPr>
            </w:pPr>
            <w:r w:rsidRPr="005D4542">
              <w:rPr>
                <w:sz w:val="20"/>
                <w:szCs w:val="20"/>
              </w:rPr>
              <w:t>--</w:t>
            </w:r>
          </w:p>
        </w:tc>
        <w:tc>
          <w:tcPr>
            <w:tcW w:w="937" w:type="dxa"/>
            <w:tcBorders>
              <w:top w:val="single" w:sz="12" w:space="0" w:color="auto"/>
              <w:left w:val="single" w:sz="12" w:space="0" w:color="auto"/>
            </w:tcBorders>
            <w:vAlign w:val="bottom"/>
          </w:tcPr>
          <w:p w14:paraId="63F8CFED" w14:textId="77777777" w:rsidR="00E465D0" w:rsidRPr="005D4542" w:rsidRDefault="00E465D0" w:rsidP="00302827">
            <w:pPr>
              <w:jc w:val="right"/>
              <w:rPr>
                <w:sz w:val="20"/>
                <w:szCs w:val="20"/>
              </w:rPr>
            </w:pPr>
            <w:r w:rsidRPr="005D4542">
              <w:rPr>
                <w:sz w:val="20"/>
                <w:szCs w:val="20"/>
              </w:rPr>
              <w:t>5.11</w:t>
            </w:r>
          </w:p>
        </w:tc>
        <w:tc>
          <w:tcPr>
            <w:tcW w:w="936" w:type="dxa"/>
            <w:tcBorders>
              <w:top w:val="single" w:sz="12" w:space="0" w:color="auto"/>
              <w:right w:val="double" w:sz="4" w:space="0" w:color="auto"/>
            </w:tcBorders>
            <w:vAlign w:val="bottom"/>
          </w:tcPr>
          <w:p w14:paraId="5B4DA684" w14:textId="77777777" w:rsidR="00E465D0" w:rsidRPr="005D4542" w:rsidRDefault="00E465D0" w:rsidP="00302827">
            <w:pPr>
              <w:jc w:val="right"/>
              <w:rPr>
                <w:sz w:val="20"/>
                <w:szCs w:val="20"/>
              </w:rPr>
            </w:pPr>
            <w:r w:rsidRPr="005D4542">
              <w:rPr>
                <w:sz w:val="20"/>
                <w:szCs w:val="20"/>
              </w:rPr>
              <w:t>--</w:t>
            </w:r>
          </w:p>
        </w:tc>
        <w:tc>
          <w:tcPr>
            <w:tcW w:w="937" w:type="dxa"/>
            <w:tcBorders>
              <w:top w:val="single" w:sz="12" w:space="0" w:color="auto"/>
              <w:left w:val="double" w:sz="4" w:space="0" w:color="auto"/>
              <w:right w:val="single" w:sz="4" w:space="0" w:color="auto"/>
            </w:tcBorders>
            <w:shd w:val="clear" w:color="auto" w:fill="D9D9D9" w:themeFill="background1" w:themeFillShade="D9"/>
            <w:vAlign w:val="bottom"/>
          </w:tcPr>
          <w:p w14:paraId="4CF9F39D" w14:textId="77777777" w:rsidR="00E465D0" w:rsidRPr="005D4542" w:rsidRDefault="00E465D0" w:rsidP="00302827">
            <w:pPr>
              <w:jc w:val="right"/>
              <w:rPr>
                <w:sz w:val="20"/>
                <w:szCs w:val="20"/>
              </w:rPr>
            </w:pPr>
            <w:r w:rsidRPr="005D4542">
              <w:rPr>
                <w:sz w:val="20"/>
                <w:szCs w:val="20"/>
              </w:rPr>
              <w:t>5.54</w:t>
            </w:r>
          </w:p>
        </w:tc>
        <w:tc>
          <w:tcPr>
            <w:tcW w:w="937" w:type="dxa"/>
            <w:tcBorders>
              <w:top w:val="single" w:sz="12" w:space="0" w:color="auto"/>
              <w:left w:val="single" w:sz="4" w:space="0" w:color="auto"/>
              <w:right w:val="single" w:sz="12" w:space="0" w:color="auto"/>
            </w:tcBorders>
            <w:shd w:val="clear" w:color="auto" w:fill="D9D9D9" w:themeFill="background1" w:themeFillShade="D9"/>
            <w:vAlign w:val="bottom"/>
          </w:tcPr>
          <w:p w14:paraId="2C03A9D3" w14:textId="77777777" w:rsidR="00E465D0" w:rsidRPr="005D4542" w:rsidRDefault="00E465D0" w:rsidP="00302827">
            <w:pPr>
              <w:jc w:val="right"/>
              <w:rPr>
                <w:sz w:val="20"/>
                <w:szCs w:val="20"/>
              </w:rPr>
            </w:pPr>
            <w:r w:rsidRPr="005D4542">
              <w:rPr>
                <w:sz w:val="20"/>
                <w:szCs w:val="20"/>
              </w:rPr>
              <w:t>--</w:t>
            </w:r>
          </w:p>
        </w:tc>
        <w:tc>
          <w:tcPr>
            <w:tcW w:w="936" w:type="dxa"/>
            <w:tcBorders>
              <w:top w:val="single" w:sz="12" w:space="0" w:color="auto"/>
              <w:left w:val="single" w:sz="12" w:space="0" w:color="auto"/>
              <w:right w:val="single" w:sz="4" w:space="0" w:color="auto"/>
            </w:tcBorders>
            <w:vAlign w:val="bottom"/>
          </w:tcPr>
          <w:p w14:paraId="2396CAB0" w14:textId="77777777" w:rsidR="00E465D0" w:rsidRPr="005D4542" w:rsidRDefault="00E465D0" w:rsidP="00302827">
            <w:pPr>
              <w:jc w:val="right"/>
              <w:rPr>
                <w:sz w:val="20"/>
                <w:szCs w:val="20"/>
              </w:rPr>
            </w:pPr>
            <w:r w:rsidRPr="005D4542">
              <w:rPr>
                <w:sz w:val="20"/>
                <w:szCs w:val="20"/>
              </w:rPr>
              <w:t>6.08</w:t>
            </w:r>
          </w:p>
        </w:tc>
        <w:tc>
          <w:tcPr>
            <w:tcW w:w="937" w:type="dxa"/>
            <w:tcBorders>
              <w:top w:val="single" w:sz="12" w:space="0" w:color="auto"/>
              <w:left w:val="single" w:sz="4" w:space="0" w:color="auto"/>
              <w:right w:val="double" w:sz="4" w:space="0" w:color="auto"/>
            </w:tcBorders>
            <w:vAlign w:val="bottom"/>
          </w:tcPr>
          <w:p w14:paraId="6AEA7CE7" w14:textId="77777777" w:rsidR="00E465D0" w:rsidRPr="005D4542" w:rsidRDefault="00E465D0" w:rsidP="00302827">
            <w:pPr>
              <w:jc w:val="right"/>
              <w:rPr>
                <w:sz w:val="20"/>
                <w:szCs w:val="20"/>
              </w:rPr>
            </w:pPr>
            <w:r w:rsidRPr="005D4542">
              <w:rPr>
                <w:sz w:val="20"/>
                <w:szCs w:val="20"/>
              </w:rPr>
              <w:t>--</w:t>
            </w:r>
          </w:p>
        </w:tc>
        <w:tc>
          <w:tcPr>
            <w:tcW w:w="937" w:type="dxa"/>
            <w:tcBorders>
              <w:top w:val="single" w:sz="12" w:space="0" w:color="auto"/>
              <w:left w:val="double" w:sz="4" w:space="0" w:color="auto"/>
            </w:tcBorders>
            <w:shd w:val="clear" w:color="auto" w:fill="D9D9D9" w:themeFill="background1" w:themeFillShade="D9"/>
            <w:vAlign w:val="bottom"/>
          </w:tcPr>
          <w:p w14:paraId="40C6A83F" w14:textId="77777777" w:rsidR="00E465D0" w:rsidRPr="005D4542" w:rsidRDefault="00E465D0" w:rsidP="00302827">
            <w:pPr>
              <w:jc w:val="right"/>
              <w:rPr>
                <w:sz w:val="20"/>
                <w:szCs w:val="20"/>
              </w:rPr>
            </w:pPr>
            <w:r w:rsidRPr="005D4542">
              <w:rPr>
                <w:sz w:val="20"/>
                <w:szCs w:val="20"/>
              </w:rPr>
              <w:t>3.58</w:t>
            </w:r>
          </w:p>
        </w:tc>
        <w:tc>
          <w:tcPr>
            <w:tcW w:w="936" w:type="dxa"/>
            <w:tcBorders>
              <w:top w:val="single" w:sz="12" w:space="0" w:color="auto"/>
              <w:right w:val="single" w:sz="12" w:space="0" w:color="auto"/>
            </w:tcBorders>
            <w:shd w:val="clear" w:color="auto" w:fill="D9D9D9" w:themeFill="background1" w:themeFillShade="D9"/>
            <w:vAlign w:val="bottom"/>
          </w:tcPr>
          <w:p w14:paraId="20315C52" w14:textId="77777777" w:rsidR="00E465D0" w:rsidRPr="005D4542" w:rsidRDefault="00E465D0" w:rsidP="00302827">
            <w:pPr>
              <w:jc w:val="right"/>
              <w:rPr>
                <w:sz w:val="20"/>
                <w:szCs w:val="20"/>
              </w:rPr>
            </w:pPr>
            <w:r w:rsidRPr="005D4542">
              <w:rPr>
                <w:sz w:val="20"/>
                <w:szCs w:val="20"/>
              </w:rPr>
              <w:t>--</w:t>
            </w:r>
          </w:p>
        </w:tc>
        <w:tc>
          <w:tcPr>
            <w:tcW w:w="937" w:type="dxa"/>
            <w:tcBorders>
              <w:top w:val="single" w:sz="12" w:space="0" w:color="auto"/>
              <w:left w:val="single" w:sz="12" w:space="0" w:color="auto"/>
              <w:right w:val="single" w:sz="4" w:space="0" w:color="auto"/>
            </w:tcBorders>
            <w:vAlign w:val="bottom"/>
          </w:tcPr>
          <w:p w14:paraId="20AF6AB1" w14:textId="77777777" w:rsidR="00E465D0" w:rsidRPr="005D4542" w:rsidRDefault="00E465D0" w:rsidP="00302827">
            <w:pPr>
              <w:jc w:val="right"/>
              <w:rPr>
                <w:sz w:val="20"/>
                <w:szCs w:val="20"/>
              </w:rPr>
            </w:pPr>
            <w:r w:rsidRPr="005D4542">
              <w:rPr>
                <w:sz w:val="20"/>
                <w:szCs w:val="20"/>
              </w:rPr>
              <w:t>5.15</w:t>
            </w:r>
          </w:p>
        </w:tc>
        <w:tc>
          <w:tcPr>
            <w:tcW w:w="937" w:type="dxa"/>
            <w:tcBorders>
              <w:top w:val="single" w:sz="12" w:space="0" w:color="auto"/>
              <w:left w:val="single" w:sz="4" w:space="0" w:color="auto"/>
              <w:right w:val="double" w:sz="4" w:space="0" w:color="auto"/>
            </w:tcBorders>
            <w:vAlign w:val="bottom"/>
          </w:tcPr>
          <w:p w14:paraId="049CC4EC" w14:textId="77777777" w:rsidR="00E465D0" w:rsidRPr="005D4542" w:rsidRDefault="00E465D0" w:rsidP="00302827">
            <w:pPr>
              <w:jc w:val="right"/>
              <w:rPr>
                <w:sz w:val="20"/>
                <w:szCs w:val="20"/>
              </w:rPr>
            </w:pPr>
            <w:r w:rsidRPr="005D4542">
              <w:rPr>
                <w:sz w:val="20"/>
                <w:szCs w:val="20"/>
              </w:rPr>
              <w:t>--</w:t>
            </w:r>
          </w:p>
        </w:tc>
      </w:tr>
      <w:tr w:rsidR="00E465D0" w:rsidRPr="00E465D0" w14:paraId="160F3256"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58D5DC8" w14:textId="77777777" w:rsidR="00E465D0" w:rsidRPr="00E465D0" w:rsidRDefault="00E465D0" w:rsidP="00302827">
            <w:pPr>
              <w:jc w:val="center"/>
              <w:rPr>
                <w:sz w:val="20"/>
                <w:szCs w:val="20"/>
              </w:rPr>
            </w:pPr>
          </w:p>
        </w:tc>
        <w:tc>
          <w:tcPr>
            <w:tcW w:w="1260" w:type="dxa"/>
            <w:tcBorders>
              <w:right w:val="double" w:sz="4" w:space="0" w:color="auto"/>
            </w:tcBorders>
          </w:tcPr>
          <w:p w14:paraId="0B53973A" w14:textId="77777777" w:rsidR="00E465D0" w:rsidRPr="00E465D0" w:rsidRDefault="00E465D0" w:rsidP="00302827">
            <w:pPr>
              <w:rPr>
                <w:sz w:val="18"/>
                <w:szCs w:val="18"/>
              </w:rPr>
            </w:pPr>
            <w:r w:rsidRPr="00E465D0">
              <w:rPr>
                <w:sz w:val="18"/>
                <w:szCs w:val="18"/>
              </w:rPr>
              <w:t>&lt; Monthly</w:t>
            </w:r>
          </w:p>
        </w:tc>
        <w:tc>
          <w:tcPr>
            <w:tcW w:w="936" w:type="dxa"/>
            <w:tcBorders>
              <w:left w:val="double" w:sz="4" w:space="0" w:color="auto"/>
            </w:tcBorders>
            <w:shd w:val="clear" w:color="auto" w:fill="D9D9D9" w:themeFill="background1" w:themeFillShade="D9"/>
            <w:vAlign w:val="bottom"/>
          </w:tcPr>
          <w:p w14:paraId="20DD502F" w14:textId="77777777" w:rsidR="00E465D0" w:rsidRPr="005D4542" w:rsidRDefault="00E465D0" w:rsidP="00302827">
            <w:pPr>
              <w:jc w:val="right"/>
              <w:rPr>
                <w:sz w:val="20"/>
                <w:szCs w:val="20"/>
              </w:rPr>
            </w:pPr>
            <w:r w:rsidRPr="005D4542">
              <w:rPr>
                <w:sz w:val="20"/>
                <w:szCs w:val="20"/>
              </w:rPr>
              <w:t>3.95</w:t>
            </w:r>
          </w:p>
        </w:tc>
        <w:tc>
          <w:tcPr>
            <w:tcW w:w="937" w:type="dxa"/>
            <w:tcBorders>
              <w:right w:val="single" w:sz="12" w:space="0" w:color="auto"/>
            </w:tcBorders>
            <w:shd w:val="clear" w:color="auto" w:fill="D9D9D9" w:themeFill="background1" w:themeFillShade="D9"/>
            <w:vAlign w:val="bottom"/>
          </w:tcPr>
          <w:p w14:paraId="6559D2D2" w14:textId="77777777" w:rsidR="00E465D0" w:rsidRPr="005D4542" w:rsidRDefault="00E465D0" w:rsidP="00302827">
            <w:pPr>
              <w:jc w:val="right"/>
              <w:rPr>
                <w:sz w:val="20"/>
                <w:szCs w:val="20"/>
              </w:rPr>
            </w:pPr>
            <w:r w:rsidRPr="005D4542">
              <w:rPr>
                <w:sz w:val="20"/>
                <w:szCs w:val="20"/>
              </w:rPr>
              <w:t>-2.0</w:t>
            </w:r>
          </w:p>
        </w:tc>
        <w:tc>
          <w:tcPr>
            <w:tcW w:w="937" w:type="dxa"/>
            <w:tcBorders>
              <w:left w:val="single" w:sz="12" w:space="0" w:color="auto"/>
            </w:tcBorders>
            <w:vAlign w:val="bottom"/>
          </w:tcPr>
          <w:p w14:paraId="41F9A186" w14:textId="77777777" w:rsidR="00E465D0" w:rsidRPr="005D4542" w:rsidRDefault="00E465D0" w:rsidP="00302827">
            <w:pPr>
              <w:jc w:val="right"/>
              <w:rPr>
                <w:sz w:val="20"/>
                <w:szCs w:val="20"/>
              </w:rPr>
            </w:pPr>
            <w:r w:rsidRPr="005D4542">
              <w:rPr>
                <w:sz w:val="20"/>
                <w:szCs w:val="20"/>
              </w:rPr>
              <w:t>4.90</w:t>
            </w:r>
          </w:p>
        </w:tc>
        <w:tc>
          <w:tcPr>
            <w:tcW w:w="936" w:type="dxa"/>
            <w:tcBorders>
              <w:right w:val="double" w:sz="4" w:space="0" w:color="auto"/>
            </w:tcBorders>
            <w:vAlign w:val="bottom"/>
          </w:tcPr>
          <w:p w14:paraId="20B6665A" w14:textId="77777777" w:rsidR="00E465D0" w:rsidRPr="005D4542" w:rsidRDefault="00E465D0" w:rsidP="00302827">
            <w:pPr>
              <w:jc w:val="right"/>
              <w:rPr>
                <w:sz w:val="20"/>
                <w:szCs w:val="20"/>
              </w:rPr>
            </w:pPr>
            <w:r w:rsidRPr="005D4542">
              <w:rPr>
                <w:sz w:val="20"/>
                <w:szCs w:val="20"/>
              </w:rPr>
              <w:t>-4.2</w:t>
            </w:r>
          </w:p>
        </w:tc>
        <w:tc>
          <w:tcPr>
            <w:tcW w:w="937" w:type="dxa"/>
            <w:tcBorders>
              <w:left w:val="double" w:sz="4" w:space="0" w:color="auto"/>
              <w:right w:val="single" w:sz="4" w:space="0" w:color="auto"/>
            </w:tcBorders>
            <w:shd w:val="clear" w:color="auto" w:fill="D9D9D9" w:themeFill="background1" w:themeFillShade="D9"/>
            <w:vAlign w:val="bottom"/>
          </w:tcPr>
          <w:p w14:paraId="108147EA" w14:textId="77777777" w:rsidR="00E465D0" w:rsidRPr="005D4542" w:rsidRDefault="00E465D0" w:rsidP="00302827">
            <w:pPr>
              <w:jc w:val="right"/>
              <w:rPr>
                <w:sz w:val="20"/>
                <w:szCs w:val="20"/>
              </w:rPr>
            </w:pPr>
            <w:r w:rsidRPr="005D4542">
              <w:rPr>
                <w:sz w:val="20"/>
                <w:szCs w:val="20"/>
              </w:rPr>
              <w:t>5.43</w:t>
            </w:r>
          </w:p>
        </w:tc>
        <w:tc>
          <w:tcPr>
            <w:tcW w:w="937" w:type="dxa"/>
            <w:tcBorders>
              <w:left w:val="single" w:sz="4" w:space="0" w:color="auto"/>
              <w:right w:val="single" w:sz="12" w:space="0" w:color="auto"/>
            </w:tcBorders>
            <w:shd w:val="clear" w:color="auto" w:fill="D9D9D9" w:themeFill="background1" w:themeFillShade="D9"/>
            <w:vAlign w:val="bottom"/>
          </w:tcPr>
          <w:p w14:paraId="4AB09ED8" w14:textId="77777777" w:rsidR="00E465D0" w:rsidRPr="005D4542" w:rsidRDefault="00E465D0" w:rsidP="00302827">
            <w:pPr>
              <w:jc w:val="right"/>
              <w:rPr>
                <w:sz w:val="20"/>
                <w:szCs w:val="20"/>
              </w:rPr>
            </w:pPr>
            <w:r w:rsidRPr="005D4542">
              <w:rPr>
                <w:sz w:val="20"/>
                <w:szCs w:val="20"/>
              </w:rPr>
              <w:t>-1.9</w:t>
            </w:r>
          </w:p>
        </w:tc>
        <w:tc>
          <w:tcPr>
            <w:tcW w:w="936" w:type="dxa"/>
            <w:tcBorders>
              <w:left w:val="single" w:sz="12" w:space="0" w:color="auto"/>
              <w:right w:val="single" w:sz="4" w:space="0" w:color="auto"/>
            </w:tcBorders>
            <w:vAlign w:val="bottom"/>
          </w:tcPr>
          <w:p w14:paraId="74CA9F34" w14:textId="77777777" w:rsidR="00E465D0" w:rsidRPr="005D4542" w:rsidRDefault="00E465D0" w:rsidP="00302827">
            <w:pPr>
              <w:jc w:val="right"/>
              <w:rPr>
                <w:sz w:val="20"/>
                <w:szCs w:val="20"/>
              </w:rPr>
            </w:pPr>
            <w:r w:rsidRPr="005D4542">
              <w:rPr>
                <w:sz w:val="20"/>
                <w:szCs w:val="20"/>
              </w:rPr>
              <w:t>5.78</w:t>
            </w:r>
          </w:p>
        </w:tc>
        <w:tc>
          <w:tcPr>
            <w:tcW w:w="937" w:type="dxa"/>
            <w:tcBorders>
              <w:left w:val="single" w:sz="4" w:space="0" w:color="auto"/>
              <w:right w:val="double" w:sz="4" w:space="0" w:color="auto"/>
            </w:tcBorders>
            <w:vAlign w:val="bottom"/>
          </w:tcPr>
          <w:p w14:paraId="1C4A8CD2" w14:textId="77777777" w:rsidR="00E465D0" w:rsidRPr="005D4542" w:rsidRDefault="00E465D0" w:rsidP="00302827">
            <w:pPr>
              <w:jc w:val="right"/>
              <w:rPr>
                <w:sz w:val="20"/>
                <w:szCs w:val="20"/>
              </w:rPr>
            </w:pPr>
            <w:r w:rsidRPr="005D4542">
              <w:rPr>
                <w:sz w:val="20"/>
                <w:szCs w:val="20"/>
              </w:rPr>
              <w:t>-4.9</w:t>
            </w:r>
          </w:p>
        </w:tc>
        <w:tc>
          <w:tcPr>
            <w:tcW w:w="937" w:type="dxa"/>
            <w:tcBorders>
              <w:left w:val="double" w:sz="4" w:space="0" w:color="auto"/>
            </w:tcBorders>
            <w:shd w:val="clear" w:color="auto" w:fill="D9D9D9" w:themeFill="background1" w:themeFillShade="D9"/>
            <w:vAlign w:val="bottom"/>
          </w:tcPr>
          <w:p w14:paraId="730922BC" w14:textId="77777777" w:rsidR="00E465D0" w:rsidRPr="005D4542" w:rsidRDefault="00E465D0" w:rsidP="00302827">
            <w:pPr>
              <w:jc w:val="right"/>
              <w:rPr>
                <w:sz w:val="20"/>
                <w:szCs w:val="20"/>
              </w:rPr>
            </w:pPr>
            <w:r w:rsidRPr="005D4542">
              <w:rPr>
                <w:sz w:val="20"/>
                <w:szCs w:val="20"/>
              </w:rPr>
              <w:t>3.51</w:t>
            </w:r>
          </w:p>
        </w:tc>
        <w:tc>
          <w:tcPr>
            <w:tcW w:w="936" w:type="dxa"/>
            <w:tcBorders>
              <w:right w:val="single" w:sz="12" w:space="0" w:color="auto"/>
            </w:tcBorders>
            <w:shd w:val="clear" w:color="auto" w:fill="D9D9D9" w:themeFill="background1" w:themeFillShade="D9"/>
            <w:vAlign w:val="bottom"/>
          </w:tcPr>
          <w:p w14:paraId="40868D51" w14:textId="77777777" w:rsidR="00E465D0" w:rsidRPr="005D4542" w:rsidRDefault="00E465D0" w:rsidP="00302827">
            <w:pPr>
              <w:jc w:val="right"/>
              <w:rPr>
                <w:sz w:val="20"/>
                <w:szCs w:val="20"/>
              </w:rPr>
            </w:pPr>
            <w:r w:rsidRPr="005D4542">
              <w:rPr>
                <w:sz w:val="20"/>
                <w:szCs w:val="20"/>
              </w:rPr>
              <w:t>-2.0</w:t>
            </w:r>
          </w:p>
        </w:tc>
        <w:tc>
          <w:tcPr>
            <w:tcW w:w="937" w:type="dxa"/>
            <w:tcBorders>
              <w:left w:val="single" w:sz="12" w:space="0" w:color="auto"/>
              <w:right w:val="single" w:sz="4" w:space="0" w:color="auto"/>
            </w:tcBorders>
            <w:vAlign w:val="bottom"/>
          </w:tcPr>
          <w:p w14:paraId="04E8428F" w14:textId="77777777" w:rsidR="00E465D0" w:rsidRPr="005D4542" w:rsidRDefault="00E465D0" w:rsidP="00302827">
            <w:pPr>
              <w:jc w:val="right"/>
              <w:rPr>
                <w:sz w:val="20"/>
                <w:szCs w:val="20"/>
              </w:rPr>
            </w:pPr>
            <w:r w:rsidRPr="005D4542">
              <w:rPr>
                <w:sz w:val="20"/>
                <w:szCs w:val="20"/>
              </w:rPr>
              <w:t>4.93</w:t>
            </w:r>
          </w:p>
        </w:tc>
        <w:tc>
          <w:tcPr>
            <w:tcW w:w="937" w:type="dxa"/>
            <w:tcBorders>
              <w:left w:val="single" w:sz="4" w:space="0" w:color="auto"/>
              <w:right w:val="double" w:sz="4" w:space="0" w:color="auto"/>
            </w:tcBorders>
            <w:vAlign w:val="bottom"/>
          </w:tcPr>
          <w:p w14:paraId="5D4E0B2A" w14:textId="77777777" w:rsidR="00E465D0" w:rsidRPr="005D4542" w:rsidRDefault="00E465D0" w:rsidP="00302827">
            <w:pPr>
              <w:jc w:val="right"/>
              <w:rPr>
                <w:sz w:val="20"/>
                <w:szCs w:val="20"/>
              </w:rPr>
            </w:pPr>
            <w:r w:rsidRPr="005D4542">
              <w:rPr>
                <w:sz w:val="20"/>
                <w:szCs w:val="20"/>
              </w:rPr>
              <w:t>-4.2</w:t>
            </w:r>
          </w:p>
        </w:tc>
      </w:tr>
      <w:tr w:rsidR="00E465D0" w:rsidRPr="00E465D0" w14:paraId="0B66DC0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600ACC2E" w14:textId="77777777" w:rsidR="00E465D0" w:rsidRPr="00E465D0" w:rsidRDefault="00E465D0" w:rsidP="00302827">
            <w:pPr>
              <w:jc w:val="center"/>
              <w:rPr>
                <w:sz w:val="20"/>
                <w:szCs w:val="20"/>
              </w:rPr>
            </w:pPr>
          </w:p>
        </w:tc>
        <w:tc>
          <w:tcPr>
            <w:tcW w:w="1260" w:type="dxa"/>
            <w:tcBorders>
              <w:right w:val="double" w:sz="4" w:space="0" w:color="auto"/>
            </w:tcBorders>
          </w:tcPr>
          <w:p w14:paraId="1947F0BB" w14:textId="600F80E0" w:rsidR="00E465D0" w:rsidRPr="00E465D0" w:rsidRDefault="007D67AC" w:rsidP="00302827">
            <w:pPr>
              <w:rPr>
                <w:sz w:val="18"/>
                <w:szCs w:val="18"/>
              </w:rPr>
            </w:pPr>
            <w:r>
              <w:rPr>
                <w:sz w:val="18"/>
                <w:szCs w:val="18"/>
              </w:rPr>
              <w:t>1-3</w:t>
            </w:r>
            <w:r w:rsidR="00E465D0" w:rsidRPr="00E465D0">
              <w:rPr>
                <w:sz w:val="18"/>
                <w:szCs w:val="18"/>
              </w:rPr>
              <w:t xml:space="preserve"> days/mo.</w:t>
            </w:r>
          </w:p>
        </w:tc>
        <w:tc>
          <w:tcPr>
            <w:tcW w:w="936" w:type="dxa"/>
            <w:tcBorders>
              <w:left w:val="double" w:sz="4" w:space="0" w:color="auto"/>
            </w:tcBorders>
            <w:shd w:val="clear" w:color="auto" w:fill="D9D9D9" w:themeFill="background1" w:themeFillShade="D9"/>
            <w:vAlign w:val="bottom"/>
          </w:tcPr>
          <w:p w14:paraId="77EAFE9C" w14:textId="77777777" w:rsidR="00E465D0" w:rsidRPr="005D4542" w:rsidRDefault="00E465D0" w:rsidP="00302827">
            <w:pPr>
              <w:jc w:val="right"/>
              <w:rPr>
                <w:sz w:val="20"/>
                <w:szCs w:val="20"/>
              </w:rPr>
            </w:pPr>
            <w:r w:rsidRPr="005D4542">
              <w:rPr>
                <w:sz w:val="20"/>
                <w:szCs w:val="20"/>
              </w:rPr>
              <w:t>4.17</w:t>
            </w:r>
          </w:p>
        </w:tc>
        <w:tc>
          <w:tcPr>
            <w:tcW w:w="937" w:type="dxa"/>
            <w:tcBorders>
              <w:right w:val="single" w:sz="12" w:space="0" w:color="auto"/>
            </w:tcBorders>
            <w:shd w:val="clear" w:color="auto" w:fill="D9D9D9" w:themeFill="background1" w:themeFillShade="D9"/>
            <w:vAlign w:val="bottom"/>
          </w:tcPr>
          <w:p w14:paraId="0D36AE38" w14:textId="77777777" w:rsidR="00E465D0" w:rsidRPr="005D4542" w:rsidRDefault="00E465D0" w:rsidP="00302827">
            <w:pPr>
              <w:jc w:val="right"/>
              <w:rPr>
                <w:sz w:val="20"/>
                <w:szCs w:val="20"/>
              </w:rPr>
            </w:pPr>
            <w:r w:rsidRPr="005D4542">
              <w:rPr>
                <w:sz w:val="20"/>
                <w:szCs w:val="20"/>
              </w:rPr>
              <w:t>3.4</w:t>
            </w:r>
          </w:p>
        </w:tc>
        <w:tc>
          <w:tcPr>
            <w:tcW w:w="937" w:type="dxa"/>
            <w:tcBorders>
              <w:left w:val="single" w:sz="12" w:space="0" w:color="auto"/>
            </w:tcBorders>
            <w:vAlign w:val="bottom"/>
          </w:tcPr>
          <w:p w14:paraId="05C66474" w14:textId="77777777" w:rsidR="00E465D0" w:rsidRPr="005D4542" w:rsidRDefault="00E465D0" w:rsidP="00302827">
            <w:pPr>
              <w:jc w:val="right"/>
              <w:rPr>
                <w:sz w:val="20"/>
                <w:szCs w:val="20"/>
              </w:rPr>
            </w:pPr>
            <w:r w:rsidRPr="005D4542">
              <w:rPr>
                <w:sz w:val="20"/>
                <w:szCs w:val="20"/>
              </w:rPr>
              <w:t>5.78</w:t>
            </w:r>
          </w:p>
        </w:tc>
        <w:tc>
          <w:tcPr>
            <w:tcW w:w="936" w:type="dxa"/>
            <w:tcBorders>
              <w:right w:val="double" w:sz="4" w:space="0" w:color="auto"/>
            </w:tcBorders>
            <w:vAlign w:val="bottom"/>
          </w:tcPr>
          <w:p w14:paraId="27085BE8" w14:textId="77777777" w:rsidR="00E465D0" w:rsidRPr="005D4542" w:rsidRDefault="00E465D0" w:rsidP="00302827">
            <w:pPr>
              <w:jc w:val="right"/>
              <w:rPr>
                <w:sz w:val="20"/>
                <w:szCs w:val="20"/>
              </w:rPr>
            </w:pPr>
            <w:r w:rsidRPr="005D4542">
              <w:rPr>
                <w:sz w:val="20"/>
                <w:szCs w:val="20"/>
              </w:rPr>
              <w:t>13.0</w:t>
            </w:r>
          </w:p>
        </w:tc>
        <w:tc>
          <w:tcPr>
            <w:tcW w:w="937" w:type="dxa"/>
            <w:tcBorders>
              <w:left w:val="double" w:sz="4" w:space="0" w:color="auto"/>
              <w:right w:val="single" w:sz="4" w:space="0" w:color="auto"/>
            </w:tcBorders>
            <w:shd w:val="clear" w:color="auto" w:fill="D9D9D9" w:themeFill="background1" w:themeFillShade="D9"/>
            <w:vAlign w:val="bottom"/>
          </w:tcPr>
          <w:p w14:paraId="06BA9BBE" w14:textId="77777777" w:rsidR="00E465D0" w:rsidRPr="005D4542" w:rsidRDefault="00E465D0" w:rsidP="00302827">
            <w:pPr>
              <w:jc w:val="right"/>
              <w:rPr>
                <w:sz w:val="20"/>
                <w:szCs w:val="20"/>
              </w:rPr>
            </w:pPr>
            <w:r w:rsidRPr="005D4542">
              <w:rPr>
                <w:sz w:val="20"/>
                <w:szCs w:val="20"/>
              </w:rPr>
              <w:t>5.72</w:t>
            </w:r>
          </w:p>
        </w:tc>
        <w:tc>
          <w:tcPr>
            <w:tcW w:w="937" w:type="dxa"/>
            <w:tcBorders>
              <w:left w:val="single" w:sz="4" w:space="0" w:color="auto"/>
              <w:right w:val="single" w:sz="12" w:space="0" w:color="auto"/>
            </w:tcBorders>
            <w:shd w:val="clear" w:color="auto" w:fill="D9D9D9" w:themeFill="background1" w:themeFillShade="D9"/>
            <w:vAlign w:val="bottom"/>
          </w:tcPr>
          <w:p w14:paraId="3FF56DF0" w14:textId="77777777" w:rsidR="00E465D0" w:rsidRPr="005D4542" w:rsidRDefault="00E465D0" w:rsidP="00302827">
            <w:pPr>
              <w:jc w:val="right"/>
              <w:rPr>
                <w:sz w:val="20"/>
                <w:szCs w:val="20"/>
              </w:rPr>
            </w:pPr>
            <w:r w:rsidRPr="005D4542">
              <w:rPr>
                <w:sz w:val="20"/>
                <w:szCs w:val="20"/>
              </w:rPr>
              <w:t>3.2</w:t>
            </w:r>
          </w:p>
        </w:tc>
        <w:tc>
          <w:tcPr>
            <w:tcW w:w="936" w:type="dxa"/>
            <w:tcBorders>
              <w:left w:val="single" w:sz="12" w:space="0" w:color="auto"/>
              <w:right w:val="single" w:sz="4" w:space="0" w:color="auto"/>
            </w:tcBorders>
            <w:vAlign w:val="bottom"/>
          </w:tcPr>
          <w:p w14:paraId="45876694" w14:textId="77777777" w:rsidR="00E465D0" w:rsidRPr="005D4542" w:rsidRDefault="00E465D0" w:rsidP="00302827">
            <w:pPr>
              <w:jc w:val="right"/>
              <w:rPr>
                <w:sz w:val="20"/>
                <w:szCs w:val="20"/>
              </w:rPr>
            </w:pPr>
            <w:r w:rsidRPr="005D4542">
              <w:rPr>
                <w:sz w:val="20"/>
                <w:szCs w:val="20"/>
              </w:rPr>
              <w:t>6.75</w:t>
            </w:r>
          </w:p>
        </w:tc>
        <w:tc>
          <w:tcPr>
            <w:tcW w:w="937" w:type="dxa"/>
            <w:tcBorders>
              <w:left w:val="single" w:sz="4" w:space="0" w:color="auto"/>
              <w:right w:val="double" w:sz="4" w:space="0" w:color="auto"/>
            </w:tcBorders>
            <w:vAlign w:val="bottom"/>
          </w:tcPr>
          <w:p w14:paraId="76772629" w14:textId="77777777" w:rsidR="00E465D0" w:rsidRPr="005D4542" w:rsidRDefault="00E465D0" w:rsidP="00302827">
            <w:pPr>
              <w:jc w:val="right"/>
              <w:rPr>
                <w:sz w:val="20"/>
                <w:szCs w:val="20"/>
              </w:rPr>
            </w:pPr>
            <w:r w:rsidRPr="005D4542">
              <w:rPr>
                <w:sz w:val="20"/>
                <w:szCs w:val="20"/>
              </w:rPr>
              <w:t>10.9</w:t>
            </w:r>
          </w:p>
        </w:tc>
        <w:tc>
          <w:tcPr>
            <w:tcW w:w="937" w:type="dxa"/>
            <w:tcBorders>
              <w:left w:val="double" w:sz="4" w:space="0" w:color="auto"/>
            </w:tcBorders>
            <w:shd w:val="clear" w:color="auto" w:fill="D9D9D9" w:themeFill="background1" w:themeFillShade="D9"/>
            <w:vAlign w:val="bottom"/>
          </w:tcPr>
          <w:p w14:paraId="53FFF066" w14:textId="77777777" w:rsidR="00E465D0" w:rsidRPr="005D4542" w:rsidRDefault="00E465D0" w:rsidP="00302827">
            <w:pPr>
              <w:jc w:val="right"/>
              <w:rPr>
                <w:sz w:val="20"/>
                <w:szCs w:val="20"/>
              </w:rPr>
            </w:pPr>
            <w:r w:rsidRPr="005D4542">
              <w:rPr>
                <w:sz w:val="20"/>
                <w:szCs w:val="20"/>
              </w:rPr>
              <w:t>3.70</w:t>
            </w:r>
          </w:p>
        </w:tc>
        <w:tc>
          <w:tcPr>
            <w:tcW w:w="936" w:type="dxa"/>
            <w:tcBorders>
              <w:right w:val="single" w:sz="12" w:space="0" w:color="auto"/>
            </w:tcBorders>
            <w:shd w:val="clear" w:color="auto" w:fill="D9D9D9" w:themeFill="background1" w:themeFillShade="D9"/>
            <w:vAlign w:val="bottom"/>
          </w:tcPr>
          <w:p w14:paraId="1CB65C7D" w14:textId="77777777" w:rsidR="00E465D0" w:rsidRPr="005D4542" w:rsidRDefault="00E465D0" w:rsidP="00302827">
            <w:pPr>
              <w:jc w:val="right"/>
              <w:rPr>
                <w:sz w:val="20"/>
                <w:szCs w:val="20"/>
              </w:rPr>
            </w:pPr>
            <w:r w:rsidRPr="005D4542">
              <w:rPr>
                <w:sz w:val="20"/>
                <w:szCs w:val="20"/>
              </w:rPr>
              <w:t>3.4</w:t>
            </w:r>
          </w:p>
        </w:tc>
        <w:tc>
          <w:tcPr>
            <w:tcW w:w="937" w:type="dxa"/>
            <w:tcBorders>
              <w:left w:val="single" w:sz="12" w:space="0" w:color="auto"/>
              <w:right w:val="single" w:sz="4" w:space="0" w:color="auto"/>
            </w:tcBorders>
            <w:vAlign w:val="bottom"/>
          </w:tcPr>
          <w:p w14:paraId="1B06DC50" w14:textId="77777777" w:rsidR="00E465D0" w:rsidRPr="005D4542" w:rsidRDefault="00E465D0" w:rsidP="00302827">
            <w:pPr>
              <w:jc w:val="right"/>
              <w:rPr>
                <w:sz w:val="20"/>
                <w:szCs w:val="20"/>
              </w:rPr>
            </w:pPr>
            <w:r w:rsidRPr="005D4542">
              <w:rPr>
                <w:sz w:val="20"/>
                <w:szCs w:val="20"/>
              </w:rPr>
              <w:t>5.82</w:t>
            </w:r>
          </w:p>
        </w:tc>
        <w:tc>
          <w:tcPr>
            <w:tcW w:w="937" w:type="dxa"/>
            <w:tcBorders>
              <w:left w:val="single" w:sz="4" w:space="0" w:color="auto"/>
              <w:right w:val="double" w:sz="4" w:space="0" w:color="auto"/>
            </w:tcBorders>
            <w:vAlign w:val="bottom"/>
          </w:tcPr>
          <w:p w14:paraId="713EA5AD" w14:textId="77777777" w:rsidR="00E465D0" w:rsidRPr="005D4542" w:rsidRDefault="00E465D0" w:rsidP="00302827">
            <w:pPr>
              <w:jc w:val="right"/>
              <w:rPr>
                <w:sz w:val="20"/>
                <w:szCs w:val="20"/>
              </w:rPr>
            </w:pPr>
            <w:r w:rsidRPr="005D4542">
              <w:rPr>
                <w:sz w:val="20"/>
                <w:szCs w:val="20"/>
              </w:rPr>
              <w:t>12.9</w:t>
            </w:r>
          </w:p>
        </w:tc>
      </w:tr>
      <w:tr w:rsidR="00E465D0" w:rsidRPr="00E465D0" w14:paraId="3A10C054"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413CDE4" w14:textId="77777777" w:rsidR="00E465D0" w:rsidRPr="00E465D0" w:rsidRDefault="00E465D0" w:rsidP="00302827">
            <w:pPr>
              <w:jc w:val="center"/>
              <w:rPr>
                <w:sz w:val="20"/>
                <w:szCs w:val="20"/>
              </w:rPr>
            </w:pPr>
          </w:p>
        </w:tc>
        <w:tc>
          <w:tcPr>
            <w:tcW w:w="1260" w:type="dxa"/>
            <w:tcBorders>
              <w:right w:val="double" w:sz="4" w:space="0" w:color="auto"/>
            </w:tcBorders>
          </w:tcPr>
          <w:p w14:paraId="06CE5309" w14:textId="77777777" w:rsidR="00E465D0" w:rsidRPr="00E465D0" w:rsidRDefault="00E465D0" w:rsidP="00302827">
            <w:pPr>
              <w:rPr>
                <w:sz w:val="18"/>
                <w:szCs w:val="18"/>
              </w:rPr>
            </w:pPr>
            <w:r w:rsidRPr="00E465D0">
              <w:rPr>
                <w:sz w:val="18"/>
                <w:szCs w:val="18"/>
              </w:rPr>
              <w:t>1 day/wk.</w:t>
            </w:r>
          </w:p>
        </w:tc>
        <w:tc>
          <w:tcPr>
            <w:tcW w:w="936" w:type="dxa"/>
            <w:tcBorders>
              <w:left w:val="double" w:sz="4" w:space="0" w:color="auto"/>
            </w:tcBorders>
            <w:shd w:val="clear" w:color="auto" w:fill="D9D9D9" w:themeFill="background1" w:themeFillShade="D9"/>
            <w:vAlign w:val="bottom"/>
          </w:tcPr>
          <w:p w14:paraId="34544461" w14:textId="77777777" w:rsidR="00E465D0" w:rsidRPr="005D4542" w:rsidRDefault="00E465D0" w:rsidP="00302827">
            <w:pPr>
              <w:jc w:val="right"/>
              <w:rPr>
                <w:sz w:val="20"/>
                <w:szCs w:val="20"/>
              </w:rPr>
            </w:pPr>
            <w:r w:rsidRPr="005D4542">
              <w:rPr>
                <w:sz w:val="20"/>
                <w:szCs w:val="20"/>
              </w:rPr>
              <w:t>4.10</w:t>
            </w:r>
          </w:p>
        </w:tc>
        <w:tc>
          <w:tcPr>
            <w:tcW w:w="937" w:type="dxa"/>
            <w:tcBorders>
              <w:right w:val="single" w:sz="12" w:space="0" w:color="auto"/>
            </w:tcBorders>
            <w:shd w:val="clear" w:color="auto" w:fill="D9D9D9" w:themeFill="background1" w:themeFillShade="D9"/>
            <w:vAlign w:val="bottom"/>
          </w:tcPr>
          <w:p w14:paraId="1FD01B5A" w14:textId="77777777" w:rsidR="00E465D0" w:rsidRPr="005D4542" w:rsidRDefault="00E465D0" w:rsidP="00302827">
            <w:pPr>
              <w:jc w:val="right"/>
              <w:rPr>
                <w:sz w:val="20"/>
                <w:szCs w:val="20"/>
              </w:rPr>
            </w:pPr>
            <w:r w:rsidRPr="005D4542">
              <w:rPr>
                <w:sz w:val="20"/>
                <w:szCs w:val="20"/>
              </w:rPr>
              <w:t>1.5</w:t>
            </w:r>
          </w:p>
        </w:tc>
        <w:tc>
          <w:tcPr>
            <w:tcW w:w="937" w:type="dxa"/>
            <w:tcBorders>
              <w:left w:val="single" w:sz="12" w:space="0" w:color="auto"/>
            </w:tcBorders>
            <w:vAlign w:val="bottom"/>
          </w:tcPr>
          <w:p w14:paraId="0DB60492" w14:textId="77777777" w:rsidR="00E465D0" w:rsidRPr="005D4542" w:rsidRDefault="00E465D0" w:rsidP="00302827">
            <w:pPr>
              <w:jc w:val="right"/>
              <w:rPr>
                <w:sz w:val="20"/>
                <w:szCs w:val="20"/>
              </w:rPr>
            </w:pPr>
            <w:r w:rsidRPr="005D4542">
              <w:rPr>
                <w:sz w:val="20"/>
                <w:szCs w:val="20"/>
              </w:rPr>
              <w:t>5.50</w:t>
            </w:r>
          </w:p>
        </w:tc>
        <w:tc>
          <w:tcPr>
            <w:tcW w:w="936" w:type="dxa"/>
            <w:tcBorders>
              <w:right w:val="double" w:sz="4" w:space="0" w:color="auto"/>
            </w:tcBorders>
            <w:vAlign w:val="bottom"/>
          </w:tcPr>
          <w:p w14:paraId="1ADA0359" w14:textId="77777777" w:rsidR="00E465D0" w:rsidRPr="005D4542" w:rsidRDefault="00E465D0" w:rsidP="00302827">
            <w:pPr>
              <w:jc w:val="right"/>
              <w:rPr>
                <w:sz w:val="20"/>
                <w:szCs w:val="20"/>
              </w:rPr>
            </w:pPr>
            <w:r w:rsidRPr="005D4542">
              <w:rPr>
                <w:sz w:val="20"/>
                <w:szCs w:val="20"/>
              </w:rPr>
              <w:t>7.5</w:t>
            </w:r>
          </w:p>
        </w:tc>
        <w:tc>
          <w:tcPr>
            <w:tcW w:w="937" w:type="dxa"/>
            <w:tcBorders>
              <w:left w:val="double" w:sz="4" w:space="0" w:color="auto"/>
              <w:right w:val="single" w:sz="4" w:space="0" w:color="auto"/>
            </w:tcBorders>
            <w:shd w:val="clear" w:color="auto" w:fill="D9D9D9" w:themeFill="background1" w:themeFillShade="D9"/>
            <w:vAlign w:val="bottom"/>
          </w:tcPr>
          <w:p w14:paraId="38BF2A8D" w14:textId="77777777" w:rsidR="00E465D0" w:rsidRPr="005D4542" w:rsidRDefault="00E465D0" w:rsidP="00302827">
            <w:pPr>
              <w:jc w:val="right"/>
              <w:rPr>
                <w:sz w:val="20"/>
                <w:szCs w:val="20"/>
              </w:rPr>
            </w:pPr>
            <w:r w:rsidRPr="005D4542">
              <w:rPr>
                <w:sz w:val="20"/>
                <w:szCs w:val="20"/>
              </w:rPr>
              <w:t>5.63</w:t>
            </w:r>
          </w:p>
        </w:tc>
        <w:tc>
          <w:tcPr>
            <w:tcW w:w="937" w:type="dxa"/>
            <w:tcBorders>
              <w:left w:val="single" w:sz="4" w:space="0" w:color="auto"/>
              <w:right w:val="single" w:sz="12" w:space="0" w:color="auto"/>
            </w:tcBorders>
            <w:shd w:val="clear" w:color="auto" w:fill="D9D9D9" w:themeFill="background1" w:themeFillShade="D9"/>
            <w:vAlign w:val="bottom"/>
          </w:tcPr>
          <w:p w14:paraId="18D02610" w14:textId="77777777" w:rsidR="00E465D0" w:rsidRPr="005D4542" w:rsidRDefault="00E465D0" w:rsidP="00302827">
            <w:pPr>
              <w:jc w:val="right"/>
              <w:rPr>
                <w:sz w:val="20"/>
                <w:szCs w:val="20"/>
              </w:rPr>
            </w:pPr>
            <w:r w:rsidRPr="005D4542">
              <w:rPr>
                <w:sz w:val="20"/>
                <w:szCs w:val="20"/>
              </w:rPr>
              <w:t>1.7</w:t>
            </w:r>
          </w:p>
        </w:tc>
        <w:tc>
          <w:tcPr>
            <w:tcW w:w="936" w:type="dxa"/>
            <w:tcBorders>
              <w:left w:val="single" w:sz="12" w:space="0" w:color="auto"/>
              <w:right w:val="single" w:sz="4" w:space="0" w:color="auto"/>
            </w:tcBorders>
            <w:vAlign w:val="bottom"/>
          </w:tcPr>
          <w:p w14:paraId="0450E831" w14:textId="77777777" w:rsidR="00E465D0" w:rsidRPr="005D4542" w:rsidRDefault="00E465D0" w:rsidP="00302827">
            <w:pPr>
              <w:jc w:val="right"/>
              <w:rPr>
                <w:sz w:val="20"/>
                <w:szCs w:val="20"/>
              </w:rPr>
            </w:pPr>
            <w:r w:rsidRPr="005D4542">
              <w:rPr>
                <w:sz w:val="20"/>
                <w:szCs w:val="20"/>
              </w:rPr>
              <w:t>6.48</w:t>
            </w:r>
          </w:p>
        </w:tc>
        <w:tc>
          <w:tcPr>
            <w:tcW w:w="937" w:type="dxa"/>
            <w:tcBorders>
              <w:left w:val="single" w:sz="4" w:space="0" w:color="auto"/>
              <w:right w:val="double" w:sz="4" w:space="0" w:color="auto"/>
            </w:tcBorders>
            <w:vAlign w:val="bottom"/>
          </w:tcPr>
          <w:p w14:paraId="2EE85201" w14:textId="77777777" w:rsidR="00E465D0" w:rsidRPr="005D4542" w:rsidRDefault="00E465D0" w:rsidP="00302827">
            <w:pPr>
              <w:jc w:val="right"/>
              <w:rPr>
                <w:sz w:val="20"/>
                <w:szCs w:val="20"/>
              </w:rPr>
            </w:pPr>
            <w:r w:rsidRPr="005D4542">
              <w:rPr>
                <w:sz w:val="20"/>
                <w:szCs w:val="20"/>
              </w:rPr>
              <w:t>6.5</w:t>
            </w:r>
          </w:p>
        </w:tc>
        <w:tc>
          <w:tcPr>
            <w:tcW w:w="937" w:type="dxa"/>
            <w:tcBorders>
              <w:left w:val="double" w:sz="4" w:space="0" w:color="auto"/>
            </w:tcBorders>
            <w:shd w:val="clear" w:color="auto" w:fill="D9D9D9" w:themeFill="background1" w:themeFillShade="D9"/>
            <w:vAlign w:val="bottom"/>
          </w:tcPr>
          <w:p w14:paraId="219EBEAA" w14:textId="77777777" w:rsidR="00E465D0" w:rsidRPr="005D4542" w:rsidRDefault="00E465D0" w:rsidP="00302827">
            <w:pPr>
              <w:jc w:val="right"/>
              <w:rPr>
                <w:sz w:val="20"/>
                <w:szCs w:val="20"/>
              </w:rPr>
            </w:pPr>
            <w:r w:rsidRPr="005D4542">
              <w:rPr>
                <w:sz w:val="20"/>
                <w:szCs w:val="20"/>
              </w:rPr>
              <w:t>3.63</w:t>
            </w:r>
          </w:p>
        </w:tc>
        <w:tc>
          <w:tcPr>
            <w:tcW w:w="936" w:type="dxa"/>
            <w:tcBorders>
              <w:right w:val="single" w:sz="12" w:space="0" w:color="auto"/>
            </w:tcBorders>
            <w:shd w:val="clear" w:color="auto" w:fill="D9D9D9" w:themeFill="background1" w:themeFillShade="D9"/>
            <w:vAlign w:val="bottom"/>
          </w:tcPr>
          <w:p w14:paraId="6205527A" w14:textId="77777777" w:rsidR="00E465D0" w:rsidRPr="005D4542" w:rsidRDefault="00E465D0" w:rsidP="00302827">
            <w:pPr>
              <w:jc w:val="right"/>
              <w:rPr>
                <w:sz w:val="20"/>
                <w:szCs w:val="20"/>
              </w:rPr>
            </w:pPr>
            <w:r w:rsidRPr="005D4542">
              <w:rPr>
                <w:sz w:val="20"/>
                <w:szCs w:val="20"/>
              </w:rPr>
              <w:t>1.6</w:t>
            </w:r>
          </w:p>
        </w:tc>
        <w:tc>
          <w:tcPr>
            <w:tcW w:w="937" w:type="dxa"/>
            <w:tcBorders>
              <w:left w:val="single" w:sz="12" w:space="0" w:color="auto"/>
              <w:right w:val="single" w:sz="4" w:space="0" w:color="auto"/>
            </w:tcBorders>
            <w:vAlign w:val="bottom"/>
          </w:tcPr>
          <w:p w14:paraId="013A008B" w14:textId="77777777" w:rsidR="00E465D0" w:rsidRPr="005D4542" w:rsidRDefault="00E465D0" w:rsidP="00302827">
            <w:pPr>
              <w:jc w:val="right"/>
              <w:rPr>
                <w:sz w:val="20"/>
                <w:szCs w:val="20"/>
              </w:rPr>
            </w:pPr>
            <w:r w:rsidRPr="005D4542">
              <w:rPr>
                <w:sz w:val="20"/>
                <w:szCs w:val="20"/>
              </w:rPr>
              <w:t>5.54</w:t>
            </w:r>
          </w:p>
        </w:tc>
        <w:tc>
          <w:tcPr>
            <w:tcW w:w="937" w:type="dxa"/>
            <w:tcBorders>
              <w:left w:val="single" w:sz="4" w:space="0" w:color="auto"/>
              <w:right w:val="double" w:sz="4" w:space="0" w:color="auto"/>
            </w:tcBorders>
            <w:vAlign w:val="bottom"/>
          </w:tcPr>
          <w:p w14:paraId="29338F64" w14:textId="77777777" w:rsidR="00E465D0" w:rsidRPr="005D4542" w:rsidRDefault="00E465D0" w:rsidP="00302827">
            <w:pPr>
              <w:jc w:val="right"/>
              <w:rPr>
                <w:sz w:val="20"/>
                <w:szCs w:val="20"/>
              </w:rPr>
            </w:pPr>
            <w:r w:rsidRPr="005D4542">
              <w:rPr>
                <w:sz w:val="20"/>
                <w:szCs w:val="20"/>
              </w:rPr>
              <w:t>7.5</w:t>
            </w:r>
          </w:p>
        </w:tc>
      </w:tr>
      <w:tr w:rsidR="00E465D0" w:rsidRPr="00E465D0" w14:paraId="23BE767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2FAF230E" w14:textId="77777777" w:rsidR="00E465D0" w:rsidRPr="00E465D0" w:rsidRDefault="00E465D0" w:rsidP="00302827">
            <w:pPr>
              <w:jc w:val="center"/>
              <w:rPr>
                <w:sz w:val="20"/>
                <w:szCs w:val="20"/>
              </w:rPr>
            </w:pPr>
          </w:p>
        </w:tc>
        <w:tc>
          <w:tcPr>
            <w:tcW w:w="1260" w:type="dxa"/>
            <w:tcBorders>
              <w:right w:val="double" w:sz="4" w:space="0" w:color="auto"/>
            </w:tcBorders>
          </w:tcPr>
          <w:p w14:paraId="6CE0ABA5" w14:textId="77777777" w:rsidR="00E465D0" w:rsidRPr="00E465D0" w:rsidRDefault="00E465D0" w:rsidP="00302827">
            <w:pPr>
              <w:rPr>
                <w:sz w:val="18"/>
                <w:szCs w:val="18"/>
              </w:rPr>
            </w:pPr>
            <w:r w:rsidRPr="00E465D0">
              <w:rPr>
                <w:sz w:val="18"/>
                <w:szCs w:val="18"/>
              </w:rPr>
              <w:t>2-3 days/wk.</w:t>
            </w:r>
          </w:p>
        </w:tc>
        <w:tc>
          <w:tcPr>
            <w:tcW w:w="936" w:type="dxa"/>
            <w:tcBorders>
              <w:left w:val="double" w:sz="4" w:space="0" w:color="auto"/>
            </w:tcBorders>
            <w:shd w:val="clear" w:color="auto" w:fill="D9D9D9" w:themeFill="background1" w:themeFillShade="D9"/>
            <w:vAlign w:val="bottom"/>
          </w:tcPr>
          <w:p w14:paraId="0225D7CD" w14:textId="77777777" w:rsidR="00E465D0" w:rsidRPr="005D4542" w:rsidRDefault="00E465D0" w:rsidP="00302827">
            <w:pPr>
              <w:jc w:val="right"/>
              <w:rPr>
                <w:sz w:val="20"/>
                <w:szCs w:val="20"/>
              </w:rPr>
            </w:pPr>
            <w:r w:rsidRPr="005D4542">
              <w:rPr>
                <w:sz w:val="20"/>
                <w:szCs w:val="20"/>
              </w:rPr>
              <w:t>4.03</w:t>
            </w:r>
          </w:p>
        </w:tc>
        <w:tc>
          <w:tcPr>
            <w:tcW w:w="937" w:type="dxa"/>
            <w:tcBorders>
              <w:right w:val="single" w:sz="12" w:space="0" w:color="auto"/>
            </w:tcBorders>
            <w:shd w:val="clear" w:color="auto" w:fill="D9D9D9" w:themeFill="background1" w:themeFillShade="D9"/>
            <w:vAlign w:val="bottom"/>
          </w:tcPr>
          <w:p w14:paraId="00D47485" w14:textId="77777777" w:rsidR="00E465D0" w:rsidRPr="005D4542" w:rsidRDefault="00E465D0" w:rsidP="00302827">
            <w:pPr>
              <w:jc w:val="right"/>
              <w:rPr>
                <w:sz w:val="20"/>
                <w:szCs w:val="20"/>
              </w:rPr>
            </w:pPr>
            <w:r w:rsidRPr="005D4542">
              <w:rPr>
                <w:sz w:val="20"/>
                <w:szCs w:val="20"/>
              </w:rPr>
              <w:t>-0.1</w:t>
            </w:r>
          </w:p>
        </w:tc>
        <w:tc>
          <w:tcPr>
            <w:tcW w:w="937" w:type="dxa"/>
            <w:tcBorders>
              <w:left w:val="single" w:sz="12" w:space="0" w:color="auto"/>
            </w:tcBorders>
            <w:vAlign w:val="bottom"/>
          </w:tcPr>
          <w:p w14:paraId="7186C9C3" w14:textId="77777777" w:rsidR="00E465D0" w:rsidRPr="005D4542" w:rsidRDefault="00E465D0" w:rsidP="00302827">
            <w:pPr>
              <w:jc w:val="right"/>
              <w:rPr>
                <w:sz w:val="20"/>
                <w:szCs w:val="20"/>
              </w:rPr>
            </w:pPr>
            <w:r w:rsidRPr="005D4542">
              <w:rPr>
                <w:sz w:val="20"/>
                <w:szCs w:val="20"/>
              </w:rPr>
              <w:t>5.26</w:t>
            </w:r>
          </w:p>
        </w:tc>
        <w:tc>
          <w:tcPr>
            <w:tcW w:w="936" w:type="dxa"/>
            <w:tcBorders>
              <w:right w:val="double" w:sz="4" w:space="0" w:color="auto"/>
            </w:tcBorders>
            <w:vAlign w:val="bottom"/>
          </w:tcPr>
          <w:p w14:paraId="5AF73E8F" w14:textId="77777777" w:rsidR="00E465D0" w:rsidRPr="005D4542" w:rsidRDefault="00E465D0" w:rsidP="00302827">
            <w:pPr>
              <w:jc w:val="right"/>
              <w:rPr>
                <w:sz w:val="20"/>
                <w:szCs w:val="20"/>
              </w:rPr>
            </w:pPr>
            <w:r w:rsidRPr="005D4542">
              <w:rPr>
                <w:sz w:val="20"/>
                <w:szCs w:val="20"/>
              </w:rPr>
              <w:t>2.9</w:t>
            </w:r>
          </w:p>
        </w:tc>
        <w:tc>
          <w:tcPr>
            <w:tcW w:w="937" w:type="dxa"/>
            <w:tcBorders>
              <w:left w:val="double" w:sz="4" w:space="0" w:color="auto"/>
              <w:right w:val="single" w:sz="4" w:space="0" w:color="auto"/>
            </w:tcBorders>
            <w:shd w:val="clear" w:color="auto" w:fill="D9D9D9" w:themeFill="background1" w:themeFillShade="D9"/>
            <w:vAlign w:val="bottom"/>
          </w:tcPr>
          <w:p w14:paraId="5A27E35E" w14:textId="77777777" w:rsidR="00E465D0" w:rsidRPr="005D4542" w:rsidRDefault="00E465D0" w:rsidP="00302827">
            <w:pPr>
              <w:jc w:val="right"/>
              <w:rPr>
                <w:sz w:val="20"/>
                <w:szCs w:val="20"/>
              </w:rPr>
            </w:pPr>
            <w:r w:rsidRPr="005D4542">
              <w:rPr>
                <w:sz w:val="20"/>
                <w:szCs w:val="20"/>
              </w:rPr>
              <w:t>5.55</w:t>
            </w:r>
          </w:p>
        </w:tc>
        <w:tc>
          <w:tcPr>
            <w:tcW w:w="937" w:type="dxa"/>
            <w:tcBorders>
              <w:left w:val="single" w:sz="4" w:space="0" w:color="auto"/>
              <w:right w:val="single" w:sz="12" w:space="0" w:color="auto"/>
            </w:tcBorders>
            <w:shd w:val="clear" w:color="auto" w:fill="D9D9D9" w:themeFill="background1" w:themeFillShade="D9"/>
            <w:vAlign w:val="bottom"/>
          </w:tcPr>
          <w:p w14:paraId="474A6ACF" w14:textId="77777777" w:rsidR="00E465D0" w:rsidRPr="005D4542" w:rsidRDefault="00E465D0" w:rsidP="00302827">
            <w:pPr>
              <w:jc w:val="right"/>
              <w:rPr>
                <w:sz w:val="20"/>
                <w:szCs w:val="20"/>
              </w:rPr>
            </w:pPr>
            <w:r w:rsidRPr="005D4542">
              <w:rPr>
                <w:sz w:val="20"/>
                <w:szCs w:val="20"/>
              </w:rPr>
              <w:t>0.2</w:t>
            </w:r>
          </w:p>
        </w:tc>
        <w:tc>
          <w:tcPr>
            <w:tcW w:w="936" w:type="dxa"/>
            <w:tcBorders>
              <w:left w:val="single" w:sz="12" w:space="0" w:color="auto"/>
              <w:right w:val="single" w:sz="4" w:space="0" w:color="auto"/>
            </w:tcBorders>
            <w:vAlign w:val="bottom"/>
          </w:tcPr>
          <w:p w14:paraId="0CF062FD" w14:textId="77777777" w:rsidR="00E465D0" w:rsidRPr="005D4542" w:rsidRDefault="00E465D0" w:rsidP="00302827">
            <w:pPr>
              <w:jc w:val="right"/>
              <w:rPr>
                <w:sz w:val="20"/>
                <w:szCs w:val="20"/>
              </w:rPr>
            </w:pPr>
            <w:r w:rsidRPr="005D4542">
              <w:rPr>
                <w:sz w:val="20"/>
                <w:szCs w:val="20"/>
              </w:rPr>
              <w:t>6.22</w:t>
            </w:r>
          </w:p>
        </w:tc>
        <w:tc>
          <w:tcPr>
            <w:tcW w:w="937" w:type="dxa"/>
            <w:tcBorders>
              <w:left w:val="single" w:sz="4" w:space="0" w:color="auto"/>
              <w:right w:val="double" w:sz="4" w:space="0" w:color="auto"/>
            </w:tcBorders>
            <w:vAlign w:val="bottom"/>
          </w:tcPr>
          <w:p w14:paraId="7D124AF0" w14:textId="77777777" w:rsidR="00E465D0" w:rsidRPr="005D4542" w:rsidRDefault="00E465D0" w:rsidP="00302827">
            <w:pPr>
              <w:jc w:val="right"/>
              <w:rPr>
                <w:sz w:val="20"/>
                <w:szCs w:val="20"/>
              </w:rPr>
            </w:pPr>
            <w:r w:rsidRPr="005D4542">
              <w:rPr>
                <w:sz w:val="20"/>
                <w:szCs w:val="20"/>
              </w:rPr>
              <w:t>2.3</w:t>
            </w:r>
          </w:p>
        </w:tc>
        <w:tc>
          <w:tcPr>
            <w:tcW w:w="937" w:type="dxa"/>
            <w:tcBorders>
              <w:left w:val="double" w:sz="4" w:space="0" w:color="auto"/>
            </w:tcBorders>
            <w:shd w:val="clear" w:color="auto" w:fill="D9D9D9" w:themeFill="background1" w:themeFillShade="D9"/>
            <w:vAlign w:val="bottom"/>
          </w:tcPr>
          <w:p w14:paraId="41D1E0E2" w14:textId="77777777" w:rsidR="00E465D0" w:rsidRPr="005D4542" w:rsidRDefault="00E465D0" w:rsidP="00302827">
            <w:pPr>
              <w:jc w:val="right"/>
              <w:rPr>
                <w:sz w:val="20"/>
                <w:szCs w:val="20"/>
              </w:rPr>
            </w:pPr>
            <w:r w:rsidRPr="005D4542">
              <w:rPr>
                <w:sz w:val="20"/>
                <w:szCs w:val="20"/>
              </w:rPr>
              <w:t>3.57</w:t>
            </w:r>
          </w:p>
        </w:tc>
        <w:tc>
          <w:tcPr>
            <w:tcW w:w="936" w:type="dxa"/>
            <w:tcBorders>
              <w:right w:val="single" w:sz="12" w:space="0" w:color="auto"/>
            </w:tcBorders>
            <w:shd w:val="clear" w:color="auto" w:fill="D9D9D9" w:themeFill="background1" w:themeFillShade="D9"/>
            <w:vAlign w:val="bottom"/>
          </w:tcPr>
          <w:p w14:paraId="2BAD1625" w14:textId="77777777" w:rsidR="00E465D0" w:rsidRPr="005D4542" w:rsidRDefault="00E465D0" w:rsidP="00302827">
            <w:pPr>
              <w:jc w:val="right"/>
              <w:rPr>
                <w:sz w:val="20"/>
                <w:szCs w:val="20"/>
              </w:rPr>
            </w:pPr>
            <w:r w:rsidRPr="005D4542">
              <w:rPr>
                <w:sz w:val="20"/>
                <w:szCs w:val="20"/>
              </w:rPr>
              <w:t>-0.1</w:t>
            </w:r>
          </w:p>
        </w:tc>
        <w:tc>
          <w:tcPr>
            <w:tcW w:w="937" w:type="dxa"/>
            <w:tcBorders>
              <w:left w:val="single" w:sz="12" w:space="0" w:color="auto"/>
              <w:right w:val="single" w:sz="4" w:space="0" w:color="auto"/>
            </w:tcBorders>
            <w:vAlign w:val="bottom"/>
          </w:tcPr>
          <w:p w14:paraId="2A374D54" w14:textId="77777777" w:rsidR="00E465D0" w:rsidRPr="005D4542" w:rsidRDefault="00E465D0" w:rsidP="00302827">
            <w:pPr>
              <w:jc w:val="right"/>
              <w:rPr>
                <w:sz w:val="20"/>
                <w:szCs w:val="20"/>
              </w:rPr>
            </w:pPr>
            <w:r w:rsidRPr="005D4542">
              <w:rPr>
                <w:sz w:val="20"/>
                <w:szCs w:val="20"/>
              </w:rPr>
              <w:t>5.30</w:t>
            </w:r>
          </w:p>
        </w:tc>
        <w:tc>
          <w:tcPr>
            <w:tcW w:w="937" w:type="dxa"/>
            <w:tcBorders>
              <w:left w:val="single" w:sz="4" w:space="0" w:color="auto"/>
              <w:right w:val="double" w:sz="4" w:space="0" w:color="auto"/>
            </w:tcBorders>
            <w:vAlign w:val="bottom"/>
          </w:tcPr>
          <w:p w14:paraId="269E58B9" w14:textId="77777777" w:rsidR="00E465D0" w:rsidRPr="005D4542" w:rsidRDefault="00E465D0" w:rsidP="00302827">
            <w:pPr>
              <w:jc w:val="right"/>
              <w:rPr>
                <w:sz w:val="20"/>
                <w:szCs w:val="20"/>
              </w:rPr>
            </w:pPr>
            <w:r w:rsidRPr="005D4542">
              <w:rPr>
                <w:sz w:val="20"/>
                <w:szCs w:val="20"/>
              </w:rPr>
              <w:t>2.9</w:t>
            </w:r>
          </w:p>
        </w:tc>
      </w:tr>
      <w:tr w:rsidR="00E465D0" w:rsidRPr="00E465D0" w14:paraId="73971AD2"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5CD2A098" w14:textId="77777777" w:rsidR="00E465D0" w:rsidRPr="00E465D0" w:rsidRDefault="00E465D0" w:rsidP="00302827">
            <w:pPr>
              <w:jc w:val="center"/>
              <w:rPr>
                <w:sz w:val="20"/>
                <w:szCs w:val="20"/>
              </w:rPr>
            </w:pPr>
          </w:p>
        </w:tc>
        <w:tc>
          <w:tcPr>
            <w:tcW w:w="1260" w:type="dxa"/>
            <w:tcBorders>
              <w:bottom w:val="single" w:sz="4" w:space="0" w:color="auto"/>
              <w:right w:val="double" w:sz="4" w:space="0" w:color="auto"/>
            </w:tcBorders>
          </w:tcPr>
          <w:p w14:paraId="1767D55E" w14:textId="77777777" w:rsidR="00E465D0" w:rsidRPr="00E465D0" w:rsidRDefault="00E465D0" w:rsidP="00302827">
            <w:pPr>
              <w:rPr>
                <w:sz w:val="18"/>
                <w:szCs w:val="18"/>
              </w:rPr>
            </w:pPr>
            <w:r w:rsidRPr="00E465D0">
              <w:rPr>
                <w:sz w:val="18"/>
                <w:szCs w:val="18"/>
              </w:rPr>
              <w:t>4 days/wk.</w:t>
            </w:r>
          </w:p>
        </w:tc>
        <w:tc>
          <w:tcPr>
            <w:tcW w:w="936" w:type="dxa"/>
            <w:tcBorders>
              <w:left w:val="double" w:sz="4" w:space="0" w:color="auto"/>
              <w:bottom w:val="single" w:sz="4" w:space="0" w:color="auto"/>
            </w:tcBorders>
            <w:shd w:val="clear" w:color="auto" w:fill="D9D9D9" w:themeFill="background1" w:themeFillShade="D9"/>
            <w:vAlign w:val="bottom"/>
          </w:tcPr>
          <w:p w14:paraId="05712B14" w14:textId="77777777" w:rsidR="00E465D0" w:rsidRPr="005D4542" w:rsidRDefault="00E465D0" w:rsidP="00302827">
            <w:pPr>
              <w:jc w:val="right"/>
              <w:rPr>
                <w:sz w:val="20"/>
                <w:szCs w:val="20"/>
              </w:rPr>
            </w:pPr>
            <w:r w:rsidRPr="005D4542">
              <w:rPr>
                <w:sz w:val="20"/>
                <w:szCs w:val="20"/>
              </w:rPr>
              <w:t>4.08</w:t>
            </w:r>
          </w:p>
        </w:tc>
        <w:tc>
          <w:tcPr>
            <w:tcW w:w="937" w:type="dxa"/>
            <w:tcBorders>
              <w:bottom w:val="single" w:sz="4" w:space="0" w:color="auto"/>
              <w:right w:val="single" w:sz="12" w:space="0" w:color="auto"/>
            </w:tcBorders>
            <w:shd w:val="clear" w:color="auto" w:fill="D9D9D9" w:themeFill="background1" w:themeFillShade="D9"/>
            <w:vAlign w:val="bottom"/>
          </w:tcPr>
          <w:p w14:paraId="618E4D05" w14:textId="77777777" w:rsidR="00E465D0" w:rsidRPr="005D4542" w:rsidRDefault="00E465D0" w:rsidP="00302827">
            <w:pPr>
              <w:jc w:val="right"/>
              <w:rPr>
                <w:sz w:val="20"/>
                <w:szCs w:val="20"/>
              </w:rPr>
            </w:pPr>
            <w:r w:rsidRPr="005D4542">
              <w:rPr>
                <w:sz w:val="20"/>
                <w:szCs w:val="20"/>
              </w:rPr>
              <w:t>1.2</w:t>
            </w:r>
          </w:p>
        </w:tc>
        <w:tc>
          <w:tcPr>
            <w:tcW w:w="937" w:type="dxa"/>
            <w:tcBorders>
              <w:left w:val="single" w:sz="12" w:space="0" w:color="auto"/>
              <w:bottom w:val="single" w:sz="4" w:space="0" w:color="auto"/>
            </w:tcBorders>
            <w:vAlign w:val="bottom"/>
          </w:tcPr>
          <w:p w14:paraId="2B2D9FD8" w14:textId="77777777" w:rsidR="00E465D0" w:rsidRPr="005D4542" w:rsidRDefault="00E465D0" w:rsidP="00302827">
            <w:pPr>
              <w:jc w:val="right"/>
              <w:rPr>
                <w:sz w:val="20"/>
                <w:szCs w:val="20"/>
              </w:rPr>
            </w:pPr>
            <w:r w:rsidRPr="005D4542">
              <w:rPr>
                <w:sz w:val="20"/>
                <w:szCs w:val="20"/>
              </w:rPr>
              <w:t>5.50</w:t>
            </w:r>
          </w:p>
        </w:tc>
        <w:tc>
          <w:tcPr>
            <w:tcW w:w="936" w:type="dxa"/>
            <w:tcBorders>
              <w:bottom w:val="single" w:sz="4" w:space="0" w:color="auto"/>
              <w:right w:val="double" w:sz="4" w:space="0" w:color="auto"/>
            </w:tcBorders>
            <w:vAlign w:val="bottom"/>
          </w:tcPr>
          <w:p w14:paraId="1059F1F2" w14:textId="77777777" w:rsidR="00E465D0" w:rsidRPr="005D4542" w:rsidRDefault="00E465D0" w:rsidP="00302827">
            <w:pPr>
              <w:jc w:val="right"/>
              <w:rPr>
                <w:sz w:val="20"/>
                <w:szCs w:val="20"/>
              </w:rPr>
            </w:pPr>
            <w:r w:rsidRPr="005D4542">
              <w:rPr>
                <w:sz w:val="20"/>
                <w:szCs w:val="20"/>
              </w:rPr>
              <w:t>7.6</w:t>
            </w:r>
          </w:p>
        </w:tc>
        <w:tc>
          <w:tcPr>
            <w:tcW w:w="937" w:type="dxa"/>
            <w:tcBorders>
              <w:left w:val="double" w:sz="4" w:space="0" w:color="auto"/>
              <w:bottom w:val="single" w:sz="4" w:space="0" w:color="auto"/>
              <w:right w:val="single" w:sz="4" w:space="0" w:color="auto"/>
            </w:tcBorders>
            <w:shd w:val="clear" w:color="auto" w:fill="D9D9D9" w:themeFill="background1" w:themeFillShade="D9"/>
            <w:vAlign w:val="bottom"/>
          </w:tcPr>
          <w:p w14:paraId="65A38789" w14:textId="77777777" w:rsidR="00E465D0" w:rsidRPr="005D4542" w:rsidRDefault="00E465D0" w:rsidP="00302827">
            <w:pPr>
              <w:jc w:val="right"/>
              <w:rPr>
                <w:sz w:val="20"/>
                <w:szCs w:val="20"/>
              </w:rPr>
            </w:pPr>
            <w:r w:rsidRPr="005D4542">
              <w:rPr>
                <w:sz w:val="20"/>
                <w:szCs w:val="20"/>
              </w:rPr>
              <w:t>5.62</w:t>
            </w:r>
          </w:p>
        </w:tc>
        <w:tc>
          <w:tcPr>
            <w:tcW w:w="937" w:type="dxa"/>
            <w:tcBorders>
              <w:left w:val="single" w:sz="4" w:space="0" w:color="auto"/>
              <w:bottom w:val="single" w:sz="4" w:space="0" w:color="auto"/>
              <w:right w:val="single" w:sz="12" w:space="0" w:color="auto"/>
            </w:tcBorders>
            <w:shd w:val="clear" w:color="auto" w:fill="D9D9D9" w:themeFill="background1" w:themeFillShade="D9"/>
            <w:vAlign w:val="bottom"/>
          </w:tcPr>
          <w:p w14:paraId="4D937C91" w14:textId="77777777" w:rsidR="00E465D0" w:rsidRPr="005D4542" w:rsidRDefault="00E465D0" w:rsidP="00302827">
            <w:pPr>
              <w:jc w:val="right"/>
              <w:rPr>
                <w:sz w:val="20"/>
                <w:szCs w:val="20"/>
              </w:rPr>
            </w:pPr>
            <w:r w:rsidRPr="005D4542">
              <w:rPr>
                <w:sz w:val="20"/>
                <w:szCs w:val="20"/>
              </w:rPr>
              <w:t>1.5</w:t>
            </w:r>
          </w:p>
        </w:tc>
        <w:tc>
          <w:tcPr>
            <w:tcW w:w="936" w:type="dxa"/>
            <w:tcBorders>
              <w:left w:val="single" w:sz="12" w:space="0" w:color="auto"/>
              <w:bottom w:val="single" w:sz="4" w:space="0" w:color="auto"/>
              <w:right w:val="single" w:sz="4" w:space="0" w:color="auto"/>
            </w:tcBorders>
            <w:vAlign w:val="bottom"/>
          </w:tcPr>
          <w:p w14:paraId="2E1EB2CC" w14:textId="77777777" w:rsidR="00E465D0" w:rsidRPr="005D4542" w:rsidRDefault="00E465D0" w:rsidP="00302827">
            <w:pPr>
              <w:jc w:val="right"/>
              <w:rPr>
                <w:sz w:val="20"/>
                <w:szCs w:val="20"/>
              </w:rPr>
            </w:pPr>
            <w:r w:rsidRPr="005D4542">
              <w:rPr>
                <w:sz w:val="20"/>
                <w:szCs w:val="20"/>
              </w:rPr>
              <w:t>6.47</w:t>
            </w:r>
          </w:p>
        </w:tc>
        <w:tc>
          <w:tcPr>
            <w:tcW w:w="937" w:type="dxa"/>
            <w:tcBorders>
              <w:left w:val="single" w:sz="4" w:space="0" w:color="auto"/>
              <w:bottom w:val="single" w:sz="4" w:space="0" w:color="auto"/>
              <w:right w:val="double" w:sz="4" w:space="0" w:color="auto"/>
            </w:tcBorders>
            <w:vAlign w:val="bottom"/>
          </w:tcPr>
          <w:p w14:paraId="6ABE1A11" w14:textId="77777777" w:rsidR="00E465D0" w:rsidRPr="005D4542" w:rsidRDefault="00E465D0" w:rsidP="00302827">
            <w:pPr>
              <w:jc w:val="right"/>
              <w:rPr>
                <w:sz w:val="20"/>
                <w:szCs w:val="20"/>
              </w:rPr>
            </w:pPr>
            <w:r w:rsidRPr="005D4542">
              <w:rPr>
                <w:sz w:val="20"/>
                <w:szCs w:val="20"/>
              </w:rPr>
              <w:t>6.4</w:t>
            </w:r>
          </w:p>
        </w:tc>
        <w:tc>
          <w:tcPr>
            <w:tcW w:w="937" w:type="dxa"/>
            <w:tcBorders>
              <w:left w:val="double" w:sz="4" w:space="0" w:color="auto"/>
              <w:bottom w:val="single" w:sz="4" w:space="0" w:color="auto"/>
            </w:tcBorders>
            <w:shd w:val="clear" w:color="auto" w:fill="D9D9D9" w:themeFill="background1" w:themeFillShade="D9"/>
            <w:vAlign w:val="bottom"/>
          </w:tcPr>
          <w:p w14:paraId="19FAF5D7" w14:textId="77777777" w:rsidR="00E465D0" w:rsidRPr="005D4542" w:rsidRDefault="00E465D0" w:rsidP="00302827">
            <w:pPr>
              <w:jc w:val="right"/>
              <w:rPr>
                <w:sz w:val="20"/>
                <w:szCs w:val="20"/>
              </w:rPr>
            </w:pPr>
            <w:r w:rsidRPr="005D4542">
              <w:rPr>
                <w:sz w:val="20"/>
                <w:szCs w:val="20"/>
              </w:rPr>
              <w:t>3.62</w:t>
            </w:r>
          </w:p>
        </w:tc>
        <w:tc>
          <w:tcPr>
            <w:tcW w:w="936" w:type="dxa"/>
            <w:tcBorders>
              <w:bottom w:val="single" w:sz="4" w:space="0" w:color="auto"/>
              <w:right w:val="single" w:sz="12" w:space="0" w:color="auto"/>
            </w:tcBorders>
            <w:shd w:val="clear" w:color="auto" w:fill="D9D9D9" w:themeFill="background1" w:themeFillShade="D9"/>
            <w:vAlign w:val="bottom"/>
          </w:tcPr>
          <w:p w14:paraId="4BB5EFA7" w14:textId="77777777" w:rsidR="00E465D0" w:rsidRPr="005D4542" w:rsidRDefault="00E465D0" w:rsidP="00302827">
            <w:pPr>
              <w:jc w:val="right"/>
              <w:rPr>
                <w:sz w:val="20"/>
                <w:szCs w:val="20"/>
              </w:rPr>
            </w:pPr>
            <w:r w:rsidRPr="005D4542">
              <w:rPr>
                <w:sz w:val="20"/>
                <w:szCs w:val="20"/>
              </w:rPr>
              <w:t>1.1</w:t>
            </w:r>
          </w:p>
        </w:tc>
        <w:tc>
          <w:tcPr>
            <w:tcW w:w="937" w:type="dxa"/>
            <w:tcBorders>
              <w:left w:val="single" w:sz="12" w:space="0" w:color="auto"/>
              <w:bottom w:val="single" w:sz="4" w:space="0" w:color="auto"/>
              <w:right w:val="single" w:sz="4" w:space="0" w:color="auto"/>
            </w:tcBorders>
            <w:vAlign w:val="bottom"/>
          </w:tcPr>
          <w:p w14:paraId="1DB7BC80" w14:textId="77777777" w:rsidR="00E465D0" w:rsidRPr="005D4542" w:rsidRDefault="00E465D0" w:rsidP="00302827">
            <w:pPr>
              <w:jc w:val="right"/>
              <w:rPr>
                <w:sz w:val="20"/>
                <w:szCs w:val="20"/>
              </w:rPr>
            </w:pPr>
            <w:r w:rsidRPr="005D4542">
              <w:rPr>
                <w:sz w:val="20"/>
                <w:szCs w:val="20"/>
              </w:rPr>
              <w:t>5.54</w:t>
            </w:r>
          </w:p>
        </w:tc>
        <w:tc>
          <w:tcPr>
            <w:tcW w:w="937" w:type="dxa"/>
            <w:tcBorders>
              <w:left w:val="single" w:sz="4" w:space="0" w:color="auto"/>
              <w:bottom w:val="single" w:sz="4" w:space="0" w:color="auto"/>
              <w:right w:val="double" w:sz="4" w:space="0" w:color="auto"/>
            </w:tcBorders>
            <w:vAlign w:val="bottom"/>
          </w:tcPr>
          <w:p w14:paraId="2CC74461" w14:textId="77777777" w:rsidR="00E465D0" w:rsidRPr="005D4542" w:rsidRDefault="00E465D0" w:rsidP="00302827">
            <w:pPr>
              <w:jc w:val="right"/>
              <w:rPr>
                <w:sz w:val="20"/>
                <w:szCs w:val="20"/>
              </w:rPr>
            </w:pPr>
            <w:r w:rsidRPr="005D4542">
              <w:rPr>
                <w:sz w:val="20"/>
                <w:szCs w:val="20"/>
              </w:rPr>
              <w:t>7.5</w:t>
            </w:r>
          </w:p>
        </w:tc>
      </w:tr>
      <w:tr w:rsidR="00E465D0" w:rsidRPr="00E465D0" w14:paraId="2A3E2B0C"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6ECE57A" w14:textId="77777777" w:rsidR="00E465D0" w:rsidRPr="00E465D0" w:rsidRDefault="00E465D0" w:rsidP="00302827">
            <w:pPr>
              <w:jc w:val="center"/>
              <w:rPr>
                <w:sz w:val="20"/>
                <w:szCs w:val="20"/>
              </w:rPr>
            </w:pPr>
          </w:p>
        </w:tc>
        <w:tc>
          <w:tcPr>
            <w:tcW w:w="1260" w:type="dxa"/>
            <w:tcBorders>
              <w:bottom w:val="double" w:sz="4" w:space="0" w:color="auto"/>
              <w:right w:val="double" w:sz="4" w:space="0" w:color="auto"/>
            </w:tcBorders>
          </w:tcPr>
          <w:p w14:paraId="492C1E1C" w14:textId="77777777" w:rsidR="00E465D0" w:rsidRPr="00E465D0" w:rsidRDefault="00E465D0" w:rsidP="00302827">
            <w:pPr>
              <w:rPr>
                <w:sz w:val="18"/>
                <w:szCs w:val="18"/>
              </w:rPr>
            </w:pPr>
            <w:r w:rsidRPr="00E465D0">
              <w:rPr>
                <w:sz w:val="18"/>
                <w:szCs w:val="18"/>
              </w:rPr>
              <w:t>≥ 5 days/wk.</w:t>
            </w:r>
          </w:p>
        </w:tc>
        <w:tc>
          <w:tcPr>
            <w:tcW w:w="936" w:type="dxa"/>
            <w:tcBorders>
              <w:left w:val="double" w:sz="4" w:space="0" w:color="auto"/>
              <w:bottom w:val="double" w:sz="4" w:space="0" w:color="auto"/>
            </w:tcBorders>
            <w:shd w:val="clear" w:color="auto" w:fill="D9D9D9" w:themeFill="background1" w:themeFillShade="D9"/>
            <w:vAlign w:val="bottom"/>
          </w:tcPr>
          <w:p w14:paraId="3C8BF921" w14:textId="77777777" w:rsidR="00E465D0" w:rsidRPr="005D4542" w:rsidRDefault="00E465D0" w:rsidP="00302827">
            <w:pPr>
              <w:jc w:val="right"/>
              <w:rPr>
                <w:sz w:val="20"/>
                <w:szCs w:val="20"/>
              </w:rPr>
            </w:pPr>
            <w:r w:rsidRPr="005D4542">
              <w:rPr>
                <w:sz w:val="20"/>
                <w:szCs w:val="20"/>
              </w:rPr>
              <w:t>4.01</w:t>
            </w:r>
          </w:p>
        </w:tc>
        <w:tc>
          <w:tcPr>
            <w:tcW w:w="937" w:type="dxa"/>
            <w:tcBorders>
              <w:bottom w:val="double" w:sz="4" w:space="0" w:color="auto"/>
              <w:right w:val="single" w:sz="12" w:space="0" w:color="auto"/>
            </w:tcBorders>
            <w:shd w:val="clear" w:color="auto" w:fill="D9D9D9" w:themeFill="background1" w:themeFillShade="D9"/>
            <w:vAlign w:val="bottom"/>
          </w:tcPr>
          <w:p w14:paraId="60E14279" w14:textId="77777777" w:rsidR="00E465D0" w:rsidRPr="005D4542" w:rsidRDefault="00E465D0" w:rsidP="00302827">
            <w:pPr>
              <w:jc w:val="right"/>
              <w:rPr>
                <w:sz w:val="20"/>
                <w:szCs w:val="20"/>
              </w:rPr>
            </w:pPr>
            <w:r w:rsidRPr="005D4542">
              <w:rPr>
                <w:sz w:val="20"/>
                <w:szCs w:val="20"/>
              </w:rPr>
              <w:t>-0.5</w:t>
            </w:r>
          </w:p>
        </w:tc>
        <w:tc>
          <w:tcPr>
            <w:tcW w:w="937" w:type="dxa"/>
            <w:tcBorders>
              <w:left w:val="single" w:sz="12" w:space="0" w:color="auto"/>
              <w:bottom w:val="double" w:sz="4" w:space="0" w:color="auto"/>
            </w:tcBorders>
            <w:vAlign w:val="bottom"/>
          </w:tcPr>
          <w:p w14:paraId="3CC013D8" w14:textId="77777777" w:rsidR="00E465D0" w:rsidRPr="005D4542" w:rsidRDefault="00E465D0" w:rsidP="00302827">
            <w:pPr>
              <w:jc w:val="right"/>
              <w:rPr>
                <w:sz w:val="20"/>
                <w:szCs w:val="20"/>
              </w:rPr>
            </w:pPr>
            <w:r w:rsidRPr="005D4542">
              <w:rPr>
                <w:sz w:val="20"/>
                <w:szCs w:val="20"/>
              </w:rPr>
              <w:t>5.30</w:t>
            </w:r>
          </w:p>
        </w:tc>
        <w:tc>
          <w:tcPr>
            <w:tcW w:w="936" w:type="dxa"/>
            <w:tcBorders>
              <w:bottom w:val="double" w:sz="4" w:space="0" w:color="auto"/>
              <w:right w:val="double" w:sz="4" w:space="0" w:color="auto"/>
            </w:tcBorders>
            <w:vAlign w:val="bottom"/>
          </w:tcPr>
          <w:p w14:paraId="2FC610EC" w14:textId="77777777" w:rsidR="00E465D0" w:rsidRPr="005D4542" w:rsidRDefault="00E465D0" w:rsidP="00302827">
            <w:pPr>
              <w:jc w:val="right"/>
              <w:rPr>
                <w:sz w:val="20"/>
                <w:szCs w:val="20"/>
              </w:rPr>
            </w:pPr>
            <w:r w:rsidRPr="005D4542">
              <w:rPr>
                <w:sz w:val="20"/>
                <w:szCs w:val="20"/>
              </w:rPr>
              <w:t>3.6</w:t>
            </w:r>
          </w:p>
        </w:tc>
        <w:tc>
          <w:tcPr>
            <w:tcW w:w="937" w:type="dxa"/>
            <w:tcBorders>
              <w:left w:val="double" w:sz="4" w:space="0" w:color="auto"/>
              <w:bottom w:val="double" w:sz="4" w:space="0" w:color="auto"/>
              <w:right w:val="single" w:sz="4" w:space="0" w:color="auto"/>
            </w:tcBorders>
            <w:shd w:val="clear" w:color="auto" w:fill="D9D9D9" w:themeFill="background1" w:themeFillShade="D9"/>
            <w:vAlign w:val="bottom"/>
          </w:tcPr>
          <w:p w14:paraId="5C840433" w14:textId="77777777" w:rsidR="00E465D0" w:rsidRPr="005D4542" w:rsidRDefault="00E465D0" w:rsidP="00302827">
            <w:pPr>
              <w:jc w:val="right"/>
              <w:rPr>
                <w:sz w:val="20"/>
                <w:szCs w:val="20"/>
              </w:rPr>
            </w:pPr>
            <w:r w:rsidRPr="005D4542">
              <w:rPr>
                <w:sz w:val="20"/>
                <w:szCs w:val="20"/>
              </w:rPr>
              <w:t>5.54</w:t>
            </w:r>
          </w:p>
        </w:tc>
        <w:tc>
          <w:tcPr>
            <w:tcW w:w="937" w:type="dxa"/>
            <w:tcBorders>
              <w:left w:val="single" w:sz="4" w:space="0" w:color="auto"/>
              <w:bottom w:val="double" w:sz="4" w:space="0" w:color="auto"/>
              <w:right w:val="single" w:sz="12" w:space="0" w:color="auto"/>
            </w:tcBorders>
            <w:shd w:val="clear" w:color="auto" w:fill="D9D9D9" w:themeFill="background1" w:themeFillShade="D9"/>
            <w:vAlign w:val="bottom"/>
          </w:tcPr>
          <w:p w14:paraId="4FA209E5" w14:textId="77777777" w:rsidR="00E465D0" w:rsidRPr="005D4542" w:rsidRDefault="00E465D0" w:rsidP="00302827">
            <w:pPr>
              <w:jc w:val="right"/>
              <w:rPr>
                <w:sz w:val="20"/>
                <w:szCs w:val="20"/>
              </w:rPr>
            </w:pPr>
            <w:r w:rsidRPr="005D4542">
              <w:rPr>
                <w:sz w:val="20"/>
                <w:szCs w:val="20"/>
              </w:rPr>
              <w:t>0.0</w:t>
            </w:r>
          </w:p>
        </w:tc>
        <w:tc>
          <w:tcPr>
            <w:tcW w:w="936" w:type="dxa"/>
            <w:tcBorders>
              <w:left w:val="single" w:sz="12" w:space="0" w:color="auto"/>
              <w:bottom w:val="double" w:sz="4" w:space="0" w:color="auto"/>
              <w:right w:val="single" w:sz="4" w:space="0" w:color="auto"/>
            </w:tcBorders>
            <w:vAlign w:val="bottom"/>
          </w:tcPr>
          <w:p w14:paraId="16626937" w14:textId="77777777" w:rsidR="00E465D0" w:rsidRPr="005D4542" w:rsidRDefault="00E465D0" w:rsidP="00302827">
            <w:pPr>
              <w:jc w:val="right"/>
              <w:rPr>
                <w:sz w:val="20"/>
                <w:szCs w:val="20"/>
              </w:rPr>
            </w:pPr>
            <w:r w:rsidRPr="005D4542">
              <w:rPr>
                <w:sz w:val="20"/>
                <w:szCs w:val="20"/>
              </w:rPr>
              <w:t>6.25</w:t>
            </w:r>
          </w:p>
        </w:tc>
        <w:tc>
          <w:tcPr>
            <w:tcW w:w="937" w:type="dxa"/>
            <w:tcBorders>
              <w:left w:val="single" w:sz="4" w:space="0" w:color="auto"/>
              <w:bottom w:val="double" w:sz="4" w:space="0" w:color="auto"/>
              <w:right w:val="double" w:sz="4" w:space="0" w:color="auto"/>
            </w:tcBorders>
            <w:vAlign w:val="bottom"/>
          </w:tcPr>
          <w:p w14:paraId="586B2058" w14:textId="77777777" w:rsidR="00E465D0" w:rsidRPr="005D4542" w:rsidRDefault="00E465D0" w:rsidP="00302827">
            <w:pPr>
              <w:jc w:val="right"/>
              <w:rPr>
                <w:sz w:val="20"/>
                <w:szCs w:val="20"/>
              </w:rPr>
            </w:pPr>
            <w:r w:rsidRPr="005D4542">
              <w:rPr>
                <w:sz w:val="20"/>
                <w:szCs w:val="20"/>
              </w:rPr>
              <w:t>2.7</w:t>
            </w:r>
          </w:p>
        </w:tc>
        <w:tc>
          <w:tcPr>
            <w:tcW w:w="937" w:type="dxa"/>
            <w:tcBorders>
              <w:left w:val="double" w:sz="4" w:space="0" w:color="auto"/>
              <w:bottom w:val="double" w:sz="4" w:space="0" w:color="auto"/>
            </w:tcBorders>
            <w:shd w:val="clear" w:color="auto" w:fill="D9D9D9" w:themeFill="background1" w:themeFillShade="D9"/>
            <w:vAlign w:val="bottom"/>
          </w:tcPr>
          <w:p w14:paraId="20C4C71B" w14:textId="77777777" w:rsidR="00E465D0" w:rsidRPr="005D4542" w:rsidRDefault="00E465D0" w:rsidP="00302827">
            <w:pPr>
              <w:jc w:val="right"/>
              <w:rPr>
                <w:sz w:val="20"/>
                <w:szCs w:val="20"/>
              </w:rPr>
            </w:pPr>
            <w:r w:rsidRPr="005D4542">
              <w:rPr>
                <w:sz w:val="20"/>
                <w:szCs w:val="20"/>
              </w:rPr>
              <w:t>3.56</w:t>
            </w:r>
          </w:p>
        </w:tc>
        <w:tc>
          <w:tcPr>
            <w:tcW w:w="936" w:type="dxa"/>
            <w:tcBorders>
              <w:bottom w:val="double" w:sz="4" w:space="0" w:color="auto"/>
              <w:right w:val="single" w:sz="12" w:space="0" w:color="auto"/>
            </w:tcBorders>
            <w:shd w:val="clear" w:color="auto" w:fill="D9D9D9" w:themeFill="background1" w:themeFillShade="D9"/>
            <w:vAlign w:val="bottom"/>
          </w:tcPr>
          <w:p w14:paraId="3817294E" w14:textId="77777777" w:rsidR="00E465D0" w:rsidRPr="005D4542" w:rsidRDefault="00E465D0" w:rsidP="00302827">
            <w:pPr>
              <w:jc w:val="right"/>
              <w:rPr>
                <w:sz w:val="20"/>
                <w:szCs w:val="20"/>
              </w:rPr>
            </w:pPr>
            <w:r w:rsidRPr="005D4542">
              <w:rPr>
                <w:sz w:val="20"/>
                <w:szCs w:val="20"/>
              </w:rPr>
              <w:t>-0.6</w:t>
            </w:r>
          </w:p>
        </w:tc>
        <w:tc>
          <w:tcPr>
            <w:tcW w:w="937" w:type="dxa"/>
            <w:tcBorders>
              <w:left w:val="single" w:sz="12" w:space="0" w:color="auto"/>
              <w:bottom w:val="double" w:sz="4" w:space="0" w:color="auto"/>
              <w:right w:val="single" w:sz="4" w:space="0" w:color="auto"/>
            </w:tcBorders>
            <w:vAlign w:val="bottom"/>
          </w:tcPr>
          <w:p w14:paraId="6B986EA6" w14:textId="77777777" w:rsidR="00E465D0" w:rsidRPr="005D4542" w:rsidRDefault="00E465D0" w:rsidP="00302827">
            <w:pPr>
              <w:jc w:val="right"/>
              <w:rPr>
                <w:sz w:val="20"/>
                <w:szCs w:val="20"/>
              </w:rPr>
            </w:pPr>
            <w:r w:rsidRPr="005D4542">
              <w:rPr>
                <w:sz w:val="20"/>
                <w:szCs w:val="20"/>
              </w:rPr>
              <w:t>5.34</w:t>
            </w:r>
          </w:p>
        </w:tc>
        <w:tc>
          <w:tcPr>
            <w:tcW w:w="937" w:type="dxa"/>
            <w:tcBorders>
              <w:left w:val="single" w:sz="4" w:space="0" w:color="auto"/>
              <w:bottom w:val="double" w:sz="4" w:space="0" w:color="auto"/>
              <w:right w:val="double" w:sz="4" w:space="0" w:color="auto"/>
            </w:tcBorders>
            <w:vAlign w:val="bottom"/>
          </w:tcPr>
          <w:p w14:paraId="51D9C3ED" w14:textId="77777777" w:rsidR="00E465D0" w:rsidRPr="005D4542" w:rsidRDefault="00E465D0" w:rsidP="00302827">
            <w:pPr>
              <w:jc w:val="right"/>
              <w:rPr>
                <w:sz w:val="20"/>
                <w:szCs w:val="20"/>
              </w:rPr>
            </w:pPr>
            <w:r w:rsidRPr="005D4542">
              <w:rPr>
                <w:sz w:val="20"/>
                <w:szCs w:val="20"/>
              </w:rPr>
              <w:t>3.6</w:t>
            </w:r>
          </w:p>
        </w:tc>
      </w:tr>
      <w:tr w:rsidR="00E465D0" w:rsidRPr="00E465D0" w14:paraId="20E8FF2B" w14:textId="77777777" w:rsidTr="00302827">
        <w:trPr>
          <w:trHeight w:val="288"/>
        </w:trPr>
        <w:tc>
          <w:tcPr>
            <w:tcW w:w="985" w:type="dxa"/>
            <w:vMerge w:val="restart"/>
            <w:tcBorders>
              <w:top w:val="double" w:sz="4" w:space="0" w:color="auto"/>
              <w:left w:val="double" w:sz="4" w:space="0" w:color="auto"/>
              <w:bottom w:val="single" w:sz="4" w:space="0" w:color="auto"/>
            </w:tcBorders>
            <w:vAlign w:val="center"/>
          </w:tcPr>
          <w:p w14:paraId="2E063DEF" w14:textId="77777777" w:rsidR="00E465D0" w:rsidRPr="00E465D0" w:rsidRDefault="00E465D0" w:rsidP="00302827">
            <w:pPr>
              <w:jc w:val="center"/>
              <w:rPr>
                <w:sz w:val="18"/>
                <w:szCs w:val="18"/>
              </w:rPr>
            </w:pPr>
            <w:r w:rsidRPr="00E465D0">
              <w:rPr>
                <w:sz w:val="20"/>
                <w:szCs w:val="20"/>
              </w:rPr>
              <w:t>Age</w:t>
            </w:r>
          </w:p>
        </w:tc>
        <w:tc>
          <w:tcPr>
            <w:tcW w:w="1260" w:type="dxa"/>
            <w:tcBorders>
              <w:top w:val="double" w:sz="4" w:space="0" w:color="auto"/>
              <w:right w:val="double" w:sz="4" w:space="0" w:color="auto"/>
            </w:tcBorders>
            <w:vAlign w:val="center"/>
          </w:tcPr>
          <w:p w14:paraId="4082B3BE" w14:textId="77777777" w:rsidR="00E465D0" w:rsidRPr="00E465D0" w:rsidRDefault="00E465D0" w:rsidP="00302827">
            <w:pPr>
              <w:rPr>
                <w:sz w:val="18"/>
                <w:szCs w:val="18"/>
              </w:rPr>
            </w:pPr>
            <w:r w:rsidRPr="00E465D0">
              <w:rPr>
                <w:sz w:val="18"/>
                <w:szCs w:val="18"/>
              </w:rPr>
              <w:t>Categories</w:t>
            </w:r>
          </w:p>
        </w:tc>
        <w:tc>
          <w:tcPr>
            <w:tcW w:w="3746" w:type="dxa"/>
            <w:gridSpan w:val="4"/>
            <w:tcBorders>
              <w:top w:val="double" w:sz="4" w:space="0" w:color="auto"/>
              <w:left w:val="double" w:sz="4" w:space="0" w:color="auto"/>
              <w:right w:val="double" w:sz="4" w:space="0" w:color="auto"/>
            </w:tcBorders>
            <w:vAlign w:val="center"/>
          </w:tcPr>
          <w:p w14:paraId="71366985" w14:textId="68E258C7" w:rsidR="00E465D0" w:rsidRPr="00E465D0" w:rsidRDefault="00E465D0" w:rsidP="00302827">
            <w:pPr>
              <w:jc w:val="center"/>
              <w:rPr>
                <w:sz w:val="18"/>
                <w:szCs w:val="18"/>
              </w:rPr>
            </w:pPr>
            <w:r w:rsidRPr="00E465D0">
              <w:rPr>
                <w:sz w:val="20"/>
                <w:szCs w:val="20"/>
              </w:rPr>
              <w:t>Age&lt;35</w:t>
            </w:r>
            <w:r w:rsidR="002248E4">
              <w:rPr>
                <w:sz w:val="20"/>
                <w:szCs w:val="20"/>
              </w:rPr>
              <w:t xml:space="preserve"> years</w:t>
            </w:r>
          </w:p>
        </w:tc>
        <w:tc>
          <w:tcPr>
            <w:tcW w:w="3747" w:type="dxa"/>
            <w:gridSpan w:val="4"/>
            <w:tcBorders>
              <w:top w:val="double" w:sz="4" w:space="0" w:color="auto"/>
              <w:left w:val="double" w:sz="4" w:space="0" w:color="auto"/>
              <w:right w:val="double" w:sz="4" w:space="0" w:color="auto"/>
            </w:tcBorders>
            <w:vAlign w:val="center"/>
          </w:tcPr>
          <w:p w14:paraId="4F7B09ED" w14:textId="30D15883" w:rsidR="00E465D0" w:rsidRPr="00E465D0" w:rsidRDefault="00E465D0" w:rsidP="00302827">
            <w:pPr>
              <w:jc w:val="center"/>
              <w:rPr>
                <w:sz w:val="18"/>
                <w:szCs w:val="18"/>
              </w:rPr>
            </w:pPr>
            <w:r w:rsidRPr="00E465D0">
              <w:rPr>
                <w:sz w:val="20"/>
                <w:szCs w:val="20"/>
              </w:rPr>
              <w:t>Age 35-54</w:t>
            </w:r>
            <w:r w:rsidR="002248E4">
              <w:rPr>
                <w:sz w:val="20"/>
                <w:szCs w:val="20"/>
              </w:rPr>
              <w:t xml:space="preserve"> years</w:t>
            </w:r>
          </w:p>
        </w:tc>
        <w:tc>
          <w:tcPr>
            <w:tcW w:w="3747" w:type="dxa"/>
            <w:gridSpan w:val="4"/>
            <w:tcBorders>
              <w:top w:val="double" w:sz="4" w:space="0" w:color="auto"/>
              <w:left w:val="double" w:sz="4" w:space="0" w:color="auto"/>
              <w:right w:val="double" w:sz="4" w:space="0" w:color="auto"/>
            </w:tcBorders>
            <w:vAlign w:val="center"/>
          </w:tcPr>
          <w:p w14:paraId="3E38B79E" w14:textId="7D568DFA" w:rsidR="00E465D0" w:rsidRPr="00E465D0" w:rsidRDefault="00E465D0" w:rsidP="00302827">
            <w:pPr>
              <w:jc w:val="center"/>
              <w:rPr>
                <w:sz w:val="18"/>
                <w:szCs w:val="18"/>
              </w:rPr>
            </w:pPr>
            <w:r w:rsidRPr="00E465D0">
              <w:rPr>
                <w:sz w:val="20"/>
                <w:szCs w:val="20"/>
              </w:rPr>
              <w:t>Age 55+</w:t>
            </w:r>
            <w:r w:rsidR="002248E4">
              <w:rPr>
                <w:sz w:val="20"/>
                <w:szCs w:val="20"/>
              </w:rPr>
              <w:t xml:space="preserve"> years</w:t>
            </w:r>
          </w:p>
        </w:tc>
      </w:tr>
      <w:tr w:rsidR="00E465D0" w:rsidRPr="00E465D0" w14:paraId="3663E4F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2591D523" w14:textId="77777777" w:rsidR="00E465D0" w:rsidRPr="00E465D0" w:rsidRDefault="00E465D0" w:rsidP="00302827">
            <w:pPr>
              <w:jc w:val="center"/>
              <w:rPr>
                <w:sz w:val="18"/>
                <w:szCs w:val="18"/>
              </w:rPr>
            </w:pPr>
          </w:p>
        </w:tc>
        <w:tc>
          <w:tcPr>
            <w:tcW w:w="1260" w:type="dxa"/>
            <w:vMerge w:val="restart"/>
            <w:tcBorders>
              <w:right w:val="double" w:sz="4" w:space="0" w:color="auto"/>
            </w:tcBorders>
          </w:tcPr>
          <w:p w14:paraId="66AA6240" w14:textId="77777777" w:rsidR="00E465D0" w:rsidRPr="00E465D0" w:rsidRDefault="00E465D0" w:rsidP="00302827">
            <w:pPr>
              <w:rPr>
                <w:sz w:val="18"/>
                <w:szCs w:val="18"/>
              </w:rPr>
            </w:pPr>
            <w:r w:rsidRPr="00E465D0">
              <w:rPr>
                <w:sz w:val="18"/>
                <w:szCs w:val="18"/>
              </w:rPr>
              <w:t>Nonwork Purpose</w:t>
            </w:r>
          </w:p>
        </w:tc>
        <w:tc>
          <w:tcPr>
            <w:tcW w:w="1873" w:type="dxa"/>
            <w:gridSpan w:val="2"/>
            <w:tcBorders>
              <w:left w:val="double" w:sz="4" w:space="0" w:color="auto"/>
              <w:right w:val="single" w:sz="12" w:space="0" w:color="auto"/>
            </w:tcBorders>
            <w:shd w:val="clear" w:color="auto" w:fill="D9D9D9" w:themeFill="background1" w:themeFillShade="D9"/>
            <w:vAlign w:val="bottom"/>
          </w:tcPr>
          <w:p w14:paraId="3188167B" w14:textId="77777777" w:rsidR="00E465D0" w:rsidRPr="00E465D0" w:rsidRDefault="00E465D0" w:rsidP="00302827">
            <w:pPr>
              <w:jc w:val="center"/>
              <w:rPr>
                <w:sz w:val="18"/>
                <w:szCs w:val="18"/>
              </w:rPr>
            </w:pPr>
            <w:r w:rsidRPr="00E465D0">
              <w:rPr>
                <w:sz w:val="18"/>
                <w:szCs w:val="18"/>
              </w:rPr>
              <w:t>Maintenance Stops</w:t>
            </w:r>
          </w:p>
        </w:tc>
        <w:tc>
          <w:tcPr>
            <w:tcW w:w="1873" w:type="dxa"/>
            <w:gridSpan w:val="2"/>
            <w:tcBorders>
              <w:left w:val="single" w:sz="12" w:space="0" w:color="auto"/>
              <w:right w:val="double" w:sz="4" w:space="0" w:color="auto"/>
            </w:tcBorders>
            <w:vAlign w:val="bottom"/>
          </w:tcPr>
          <w:p w14:paraId="4CD32F5F" w14:textId="77777777" w:rsidR="00E465D0" w:rsidRPr="00E465D0" w:rsidRDefault="00E465D0" w:rsidP="00302827">
            <w:pPr>
              <w:jc w:val="center"/>
              <w:rPr>
                <w:sz w:val="18"/>
                <w:szCs w:val="18"/>
              </w:rPr>
            </w:pPr>
            <w:r w:rsidRPr="00E465D0">
              <w:rPr>
                <w:sz w:val="18"/>
                <w:szCs w:val="18"/>
              </w:rPr>
              <w:t>Leisure Stops</w:t>
            </w:r>
          </w:p>
        </w:tc>
        <w:tc>
          <w:tcPr>
            <w:tcW w:w="1874" w:type="dxa"/>
            <w:gridSpan w:val="2"/>
            <w:tcBorders>
              <w:left w:val="double" w:sz="4" w:space="0" w:color="auto"/>
              <w:right w:val="single" w:sz="12" w:space="0" w:color="auto"/>
            </w:tcBorders>
            <w:shd w:val="clear" w:color="auto" w:fill="D9D9D9" w:themeFill="background1" w:themeFillShade="D9"/>
            <w:vAlign w:val="bottom"/>
          </w:tcPr>
          <w:p w14:paraId="5CCD1C50" w14:textId="77777777" w:rsidR="00E465D0" w:rsidRPr="00E465D0" w:rsidRDefault="00E465D0" w:rsidP="00302827">
            <w:pPr>
              <w:jc w:val="center"/>
              <w:rPr>
                <w:sz w:val="18"/>
                <w:szCs w:val="18"/>
              </w:rPr>
            </w:pPr>
            <w:r w:rsidRPr="00E465D0">
              <w:rPr>
                <w:sz w:val="18"/>
                <w:szCs w:val="18"/>
              </w:rPr>
              <w:t>Maintenance Stops</w:t>
            </w:r>
          </w:p>
        </w:tc>
        <w:tc>
          <w:tcPr>
            <w:tcW w:w="1873" w:type="dxa"/>
            <w:gridSpan w:val="2"/>
            <w:tcBorders>
              <w:left w:val="single" w:sz="12" w:space="0" w:color="auto"/>
              <w:right w:val="double" w:sz="4" w:space="0" w:color="auto"/>
            </w:tcBorders>
            <w:vAlign w:val="bottom"/>
          </w:tcPr>
          <w:p w14:paraId="43C409DF" w14:textId="77777777" w:rsidR="00E465D0" w:rsidRPr="00E465D0" w:rsidRDefault="00E465D0" w:rsidP="00302827">
            <w:pPr>
              <w:jc w:val="center"/>
              <w:rPr>
                <w:sz w:val="18"/>
                <w:szCs w:val="18"/>
              </w:rPr>
            </w:pPr>
            <w:r w:rsidRPr="00E465D0">
              <w:rPr>
                <w:sz w:val="18"/>
                <w:szCs w:val="18"/>
              </w:rPr>
              <w:t>Leisure Stops</w:t>
            </w:r>
          </w:p>
        </w:tc>
        <w:tc>
          <w:tcPr>
            <w:tcW w:w="1873" w:type="dxa"/>
            <w:gridSpan w:val="2"/>
            <w:tcBorders>
              <w:left w:val="double" w:sz="4" w:space="0" w:color="auto"/>
              <w:right w:val="single" w:sz="12" w:space="0" w:color="auto"/>
            </w:tcBorders>
            <w:shd w:val="clear" w:color="auto" w:fill="D9D9D9" w:themeFill="background1" w:themeFillShade="D9"/>
            <w:vAlign w:val="bottom"/>
          </w:tcPr>
          <w:p w14:paraId="52BB7D90" w14:textId="77777777" w:rsidR="00E465D0" w:rsidRPr="00E465D0" w:rsidRDefault="00E465D0" w:rsidP="00302827">
            <w:pPr>
              <w:jc w:val="center"/>
              <w:rPr>
                <w:sz w:val="18"/>
                <w:szCs w:val="18"/>
              </w:rPr>
            </w:pPr>
            <w:r w:rsidRPr="00E465D0">
              <w:rPr>
                <w:sz w:val="18"/>
                <w:szCs w:val="18"/>
              </w:rPr>
              <w:t>Maintenance Stops</w:t>
            </w:r>
          </w:p>
        </w:tc>
        <w:tc>
          <w:tcPr>
            <w:tcW w:w="1874" w:type="dxa"/>
            <w:gridSpan w:val="2"/>
            <w:tcBorders>
              <w:left w:val="single" w:sz="12" w:space="0" w:color="auto"/>
              <w:right w:val="double" w:sz="4" w:space="0" w:color="auto"/>
            </w:tcBorders>
            <w:vAlign w:val="bottom"/>
          </w:tcPr>
          <w:p w14:paraId="7DCCD713" w14:textId="77777777" w:rsidR="00E465D0" w:rsidRPr="00E465D0" w:rsidRDefault="00E465D0" w:rsidP="00302827">
            <w:pPr>
              <w:jc w:val="center"/>
              <w:rPr>
                <w:sz w:val="18"/>
                <w:szCs w:val="18"/>
              </w:rPr>
            </w:pPr>
            <w:r w:rsidRPr="00E465D0">
              <w:rPr>
                <w:sz w:val="18"/>
                <w:szCs w:val="18"/>
              </w:rPr>
              <w:t>Leisure Stops</w:t>
            </w:r>
          </w:p>
        </w:tc>
      </w:tr>
      <w:tr w:rsidR="00E465D0" w:rsidRPr="00E465D0" w14:paraId="2471008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153DBAE" w14:textId="77777777" w:rsidR="00E465D0" w:rsidRPr="00E465D0" w:rsidRDefault="00E465D0" w:rsidP="00302827">
            <w:pPr>
              <w:jc w:val="center"/>
              <w:rPr>
                <w:sz w:val="20"/>
                <w:szCs w:val="20"/>
              </w:rPr>
            </w:pPr>
          </w:p>
        </w:tc>
        <w:tc>
          <w:tcPr>
            <w:tcW w:w="1260" w:type="dxa"/>
            <w:vMerge/>
            <w:tcBorders>
              <w:bottom w:val="single" w:sz="12" w:space="0" w:color="auto"/>
              <w:right w:val="double" w:sz="4" w:space="0" w:color="auto"/>
            </w:tcBorders>
          </w:tcPr>
          <w:p w14:paraId="791F7707" w14:textId="77777777" w:rsidR="00E465D0" w:rsidRPr="00E465D0" w:rsidRDefault="00E465D0" w:rsidP="00302827">
            <w:pPr>
              <w:rPr>
                <w:sz w:val="18"/>
                <w:szCs w:val="18"/>
              </w:rPr>
            </w:pPr>
          </w:p>
        </w:tc>
        <w:tc>
          <w:tcPr>
            <w:tcW w:w="936" w:type="dxa"/>
            <w:tcBorders>
              <w:left w:val="double" w:sz="4" w:space="0" w:color="auto"/>
              <w:bottom w:val="single" w:sz="12" w:space="0" w:color="auto"/>
            </w:tcBorders>
            <w:shd w:val="clear" w:color="auto" w:fill="D9D9D9" w:themeFill="background1" w:themeFillShade="D9"/>
            <w:vAlign w:val="bottom"/>
          </w:tcPr>
          <w:p w14:paraId="4726390F"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bottom w:val="single" w:sz="12" w:space="0" w:color="auto"/>
              <w:right w:val="single" w:sz="12" w:space="0" w:color="auto"/>
            </w:tcBorders>
            <w:shd w:val="clear" w:color="auto" w:fill="D9D9D9" w:themeFill="background1" w:themeFillShade="D9"/>
          </w:tcPr>
          <w:p w14:paraId="2067D57C"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12" w:space="0" w:color="auto"/>
              <w:bottom w:val="single" w:sz="12" w:space="0" w:color="auto"/>
            </w:tcBorders>
            <w:vAlign w:val="bottom"/>
          </w:tcPr>
          <w:p w14:paraId="4A75B224"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double" w:sz="4" w:space="0" w:color="auto"/>
            </w:tcBorders>
          </w:tcPr>
          <w:p w14:paraId="203FDC7B"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double" w:sz="4" w:space="0" w:color="auto"/>
              <w:bottom w:val="single" w:sz="12" w:space="0" w:color="auto"/>
              <w:right w:val="single" w:sz="4" w:space="0" w:color="auto"/>
            </w:tcBorders>
            <w:shd w:val="clear" w:color="auto" w:fill="D9D9D9" w:themeFill="background1" w:themeFillShade="D9"/>
            <w:vAlign w:val="bottom"/>
          </w:tcPr>
          <w:p w14:paraId="4CFA2683"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single" w:sz="12" w:space="0" w:color="auto"/>
            </w:tcBorders>
            <w:shd w:val="clear" w:color="auto" w:fill="D9D9D9" w:themeFill="background1" w:themeFillShade="D9"/>
          </w:tcPr>
          <w:p w14:paraId="33A44289" w14:textId="77777777" w:rsidR="00E465D0" w:rsidRPr="00E465D0" w:rsidRDefault="00E465D0" w:rsidP="00302827">
            <w:pPr>
              <w:jc w:val="center"/>
              <w:rPr>
                <w:sz w:val="18"/>
                <w:szCs w:val="18"/>
              </w:rPr>
            </w:pPr>
            <w:r w:rsidRPr="00E465D0">
              <w:rPr>
                <w:sz w:val="18"/>
                <w:szCs w:val="18"/>
              </w:rPr>
              <w:t>% Change from “Never” Teleworking</w:t>
            </w:r>
          </w:p>
        </w:tc>
        <w:tc>
          <w:tcPr>
            <w:tcW w:w="936" w:type="dxa"/>
            <w:tcBorders>
              <w:left w:val="single" w:sz="12" w:space="0" w:color="auto"/>
              <w:bottom w:val="single" w:sz="12" w:space="0" w:color="auto"/>
              <w:right w:val="single" w:sz="4" w:space="0" w:color="auto"/>
            </w:tcBorders>
            <w:vAlign w:val="bottom"/>
          </w:tcPr>
          <w:p w14:paraId="3F995E88"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double" w:sz="4" w:space="0" w:color="auto"/>
            </w:tcBorders>
          </w:tcPr>
          <w:p w14:paraId="79CC5C4C"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double" w:sz="4" w:space="0" w:color="auto"/>
              <w:bottom w:val="single" w:sz="12" w:space="0" w:color="auto"/>
            </w:tcBorders>
            <w:shd w:val="clear" w:color="auto" w:fill="D9D9D9" w:themeFill="background1" w:themeFillShade="D9"/>
            <w:vAlign w:val="bottom"/>
          </w:tcPr>
          <w:p w14:paraId="2FFDC818"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single" w:sz="12" w:space="0" w:color="auto"/>
            </w:tcBorders>
            <w:shd w:val="clear" w:color="auto" w:fill="D9D9D9" w:themeFill="background1" w:themeFillShade="D9"/>
          </w:tcPr>
          <w:p w14:paraId="35F21D8E"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12" w:space="0" w:color="auto"/>
              <w:bottom w:val="single" w:sz="12" w:space="0" w:color="auto"/>
              <w:right w:val="single" w:sz="4" w:space="0" w:color="auto"/>
            </w:tcBorders>
            <w:vAlign w:val="bottom"/>
          </w:tcPr>
          <w:p w14:paraId="2464AC73" w14:textId="77777777" w:rsidR="00E465D0" w:rsidRPr="00E465D0" w:rsidRDefault="00E465D0" w:rsidP="00302827">
            <w:pPr>
              <w:jc w:val="center"/>
              <w:rPr>
                <w:sz w:val="18"/>
                <w:szCs w:val="18"/>
              </w:rPr>
            </w:pPr>
            <w:r w:rsidRPr="00E465D0">
              <w:rPr>
                <w:sz w:val="18"/>
                <w:szCs w:val="18"/>
              </w:rPr>
              <w:t>Expected Number of Stops</w:t>
            </w:r>
          </w:p>
        </w:tc>
        <w:tc>
          <w:tcPr>
            <w:tcW w:w="937" w:type="dxa"/>
            <w:tcBorders>
              <w:left w:val="single" w:sz="4" w:space="0" w:color="auto"/>
              <w:bottom w:val="single" w:sz="12" w:space="0" w:color="auto"/>
              <w:right w:val="double" w:sz="4" w:space="0" w:color="auto"/>
            </w:tcBorders>
          </w:tcPr>
          <w:p w14:paraId="453885C7" w14:textId="77777777" w:rsidR="00E465D0" w:rsidRPr="00E465D0" w:rsidRDefault="00E465D0" w:rsidP="00302827">
            <w:pPr>
              <w:jc w:val="center"/>
              <w:rPr>
                <w:sz w:val="18"/>
                <w:szCs w:val="18"/>
              </w:rPr>
            </w:pPr>
            <w:r w:rsidRPr="00E465D0">
              <w:rPr>
                <w:sz w:val="18"/>
                <w:szCs w:val="18"/>
              </w:rPr>
              <w:t>% Change from “Never” Teleworking</w:t>
            </w:r>
          </w:p>
        </w:tc>
      </w:tr>
      <w:tr w:rsidR="00E465D0" w:rsidRPr="00E465D0" w14:paraId="680DCA4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1E2D2D35" w14:textId="77777777" w:rsidR="00E465D0" w:rsidRPr="00E465D0" w:rsidRDefault="00E465D0" w:rsidP="00302827">
            <w:pPr>
              <w:jc w:val="center"/>
              <w:rPr>
                <w:sz w:val="20"/>
                <w:szCs w:val="20"/>
              </w:rPr>
            </w:pPr>
          </w:p>
        </w:tc>
        <w:tc>
          <w:tcPr>
            <w:tcW w:w="1260" w:type="dxa"/>
            <w:tcBorders>
              <w:top w:val="single" w:sz="12" w:space="0" w:color="auto"/>
              <w:right w:val="double" w:sz="4" w:space="0" w:color="auto"/>
            </w:tcBorders>
          </w:tcPr>
          <w:p w14:paraId="462C03A6" w14:textId="77777777" w:rsidR="00E465D0" w:rsidRPr="00E465D0" w:rsidRDefault="00E465D0" w:rsidP="00302827">
            <w:pPr>
              <w:rPr>
                <w:sz w:val="18"/>
                <w:szCs w:val="18"/>
              </w:rPr>
            </w:pPr>
            <w:r w:rsidRPr="00E465D0">
              <w:rPr>
                <w:sz w:val="18"/>
                <w:szCs w:val="18"/>
              </w:rPr>
              <w:t>Never</w:t>
            </w:r>
          </w:p>
        </w:tc>
        <w:tc>
          <w:tcPr>
            <w:tcW w:w="936" w:type="dxa"/>
            <w:tcBorders>
              <w:top w:val="single" w:sz="12" w:space="0" w:color="auto"/>
              <w:left w:val="double" w:sz="4" w:space="0" w:color="auto"/>
            </w:tcBorders>
            <w:shd w:val="clear" w:color="auto" w:fill="D9D9D9" w:themeFill="background1" w:themeFillShade="D9"/>
            <w:vAlign w:val="bottom"/>
          </w:tcPr>
          <w:p w14:paraId="2194D664" w14:textId="77777777" w:rsidR="00E465D0" w:rsidRPr="005D4542" w:rsidRDefault="00E465D0" w:rsidP="00302827">
            <w:pPr>
              <w:jc w:val="right"/>
              <w:rPr>
                <w:sz w:val="22"/>
                <w:szCs w:val="22"/>
              </w:rPr>
            </w:pPr>
            <w:r w:rsidRPr="005D4542">
              <w:rPr>
                <w:sz w:val="22"/>
                <w:szCs w:val="22"/>
              </w:rPr>
              <w:t>3.65</w:t>
            </w:r>
          </w:p>
        </w:tc>
        <w:tc>
          <w:tcPr>
            <w:tcW w:w="937" w:type="dxa"/>
            <w:tcBorders>
              <w:top w:val="single" w:sz="12" w:space="0" w:color="auto"/>
              <w:right w:val="single" w:sz="12" w:space="0" w:color="auto"/>
            </w:tcBorders>
            <w:shd w:val="clear" w:color="auto" w:fill="D9D9D9" w:themeFill="background1" w:themeFillShade="D9"/>
            <w:vAlign w:val="bottom"/>
          </w:tcPr>
          <w:p w14:paraId="65F1810F" w14:textId="77777777" w:rsidR="00E465D0" w:rsidRPr="005D4542" w:rsidRDefault="00E465D0" w:rsidP="00302827">
            <w:pPr>
              <w:jc w:val="right"/>
              <w:rPr>
                <w:sz w:val="22"/>
                <w:szCs w:val="22"/>
              </w:rPr>
            </w:pPr>
            <w:r w:rsidRPr="005D4542">
              <w:rPr>
                <w:sz w:val="22"/>
                <w:szCs w:val="22"/>
              </w:rPr>
              <w:t>--</w:t>
            </w:r>
          </w:p>
        </w:tc>
        <w:tc>
          <w:tcPr>
            <w:tcW w:w="937" w:type="dxa"/>
            <w:tcBorders>
              <w:top w:val="single" w:sz="12" w:space="0" w:color="auto"/>
              <w:left w:val="single" w:sz="12" w:space="0" w:color="auto"/>
            </w:tcBorders>
            <w:vAlign w:val="bottom"/>
          </w:tcPr>
          <w:p w14:paraId="7CF10845" w14:textId="77777777" w:rsidR="00E465D0" w:rsidRPr="005D4542" w:rsidRDefault="00E465D0" w:rsidP="00302827">
            <w:pPr>
              <w:jc w:val="right"/>
              <w:rPr>
                <w:sz w:val="22"/>
                <w:szCs w:val="22"/>
              </w:rPr>
            </w:pPr>
            <w:r w:rsidRPr="005D4542">
              <w:rPr>
                <w:sz w:val="22"/>
                <w:szCs w:val="22"/>
              </w:rPr>
              <w:t>5.42</w:t>
            </w:r>
          </w:p>
        </w:tc>
        <w:tc>
          <w:tcPr>
            <w:tcW w:w="936" w:type="dxa"/>
            <w:tcBorders>
              <w:top w:val="single" w:sz="12" w:space="0" w:color="auto"/>
              <w:right w:val="double" w:sz="4" w:space="0" w:color="auto"/>
            </w:tcBorders>
            <w:vAlign w:val="bottom"/>
          </w:tcPr>
          <w:p w14:paraId="45D72784" w14:textId="77777777" w:rsidR="00E465D0" w:rsidRPr="005D4542" w:rsidRDefault="00E465D0" w:rsidP="00302827">
            <w:pPr>
              <w:jc w:val="right"/>
              <w:rPr>
                <w:sz w:val="22"/>
                <w:szCs w:val="22"/>
              </w:rPr>
            </w:pPr>
            <w:r w:rsidRPr="005D4542">
              <w:rPr>
                <w:sz w:val="22"/>
                <w:szCs w:val="22"/>
              </w:rPr>
              <w:t>--</w:t>
            </w:r>
          </w:p>
        </w:tc>
        <w:tc>
          <w:tcPr>
            <w:tcW w:w="937" w:type="dxa"/>
            <w:tcBorders>
              <w:top w:val="single" w:sz="12" w:space="0" w:color="auto"/>
              <w:left w:val="double" w:sz="4" w:space="0" w:color="auto"/>
              <w:right w:val="single" w:sz="4" w:space="0" w:color="auto"/>
            </w:tcBorders>
            <w:shd w:val="clear" w:color="auto" w:fill="D9D9D9" w:themeFill="background1" w:themeFillShade="D9"/>
            <w:vAlign w:val="bottom"/>
          </w:tcPr>
          <w:p w14:paraId="6A13D4E2" w14:textId="77777777" w:rsidR="00E465D0" w:rsidRPr="005D4542" w:rsidRDefault="00E465D0" w:rsidP="00302827">
            <w:pPr>
              <w:jc w:val="right"/>
              <w:rPr>
                <w:sz w:val="22"/>
                <w:szCs w:val="22"/>
              </w:rPr>
            </w:pPr>
            <w:r w:rsidRPr="005D4542">
              <w:rPr>
                <w:sz w:val="22"/>
                <w:szCs w:val="22"/>
              </w:rPr>
              <w:t>4.08</w:t>
            </w:r>
          </w:p>
        </w:tc>
        <w:tc>
          <w:tcPr>
            <w:tcW w:w="937" w:type="dxa"/>
            <w:tcBorders>
              <w:top w:val="single" w:sz="12" w:space="0" w:color="auto"/>
              <w:left w:val="single" w:sz="4" w:space="0" w:color="auto"/>
              <w:right w:val="single" w:sz="12" w:space="0" w:color="auto"/>
            </w:tcBorders>
            <w:shd w:val="clear" w:color="auto" w:fill="D9D9D9" w:themeFill="background1" w:themeFillShade="D9"/>
            <w:vAlign w:val="bottom"/>
          </w:tcPr>
          <w:p w14:paraId="15DACB74" w14:textId="77777777" w:rsidR="00E465D0" w:rsidRPr="005D4542" w:rsidRDefault="00E465D0" w:rsidP="00302827">
            <w:pPr>
              <w:jc w:val="right"/>
              <w:rPr>
                <w:sz w:val="22"/>
                <w:szCs w:val="22"/>
              </w:rPr>
            </w:pPr>
            <w:r w:rsidRPr="005D4542">
              <w:rPr>
                <w:sz w:val="22"/>
                <w:szCs w:val="22"/>
              </w:rPr>
              <w:t>--</w:t>
            </w:r>
          </w:p>
        </w:tc>
        <w:tc>
          <w:tcPr>
            <w:tcW w:w="936" w:type="dxa"/>
            <w:tcBorders>
              <w:top w:val="single" w:sz="12" w:space="0" w:color="auto"/>
              <w:left w:val="single" w:sz="12" w:space="0" w:color="auto"/>
              <w:right w:val="single" w:sz="4" w:space="0" w:color="auto"/>
            </w:tcBorders>
            <w:vAlign w:val="bottom"/>
          </w:tcPr>
          <w:p w14:paraId="05BBE375" w14:textId="77777777" w:rsidR="00E465D0" w:rsidRPr="005D4542" w:rsidRDefault="00E465D0" w:rsidP="00302827">
            <w:pPr>
              <w:jc w:val="right"/>
              <w:rPr>
                <w:sz w:val="22"/>
                <w:szCs w:val="22"/>
              </w:rPr>
            </w:pPr>
            <w:r w:rsidRPr="005D4542">
              <w:rPr>
                <w:sz w:val="22"/>
                <w:szCs w:val="22"/>
              </w:rPr>
              <w:t>5.29</w:t>
            </w:r>
          </w:p>
        </w:tc>
        <w:tc>
          <w:tcPr>
            <w:tcW w:w="937" w:type="dxa"/>
            <w:tcBorders>
              <w:top w:val="single" w:sz="12" w:space="0" w:color="auto"/>
              <w:left w:val="single" w:sz="4" w:space="0" w:color="auto"/>
              <w:right w:val="double" w:sz="4" w:space="0" w:color="auto"/>
            </w:tcBorders>
            <w:vAlign w:val="bottom"/>
          </w:tcPr>
          <w:p w14:paraId="1411A977" w14:textId="77777777" w:rsidR="00E465D0" w:rsidRPr="005D4542" w:rsidRDefault="00E465D0" w:rsidP="00302827">
            <w:pPr>
              <w:jc w:val="right"/>
              <w:rPr>
                <w:sz w:val="22"/>
                <w:szCs w:val="22"/>
              </w:rPr>
            </w:pPr>
            <w:r w:rsidRPr="005D4542">
              <w:rPr>
                <w:sz w:val="22"/>
                <w:szCs w:val="22"/>
              </w:rPr>
              <w:t>--</w:t>
            </w:r>
          </w:p>
        </w:tc>
        <w:tc>
          <w:tcPr>
            <w:tcW w:w="937" w:type="dxa"/>
            <w:tcBorders>
              <w:top w:val="single" w:sz="12" w:space="0" w:color="auto"/>
              <w:left w:val="double" w:sz="4" w:space="0" w:color="auto"/>
            </w:tcBorders>
            <w:shd w:val="clear" w:color="auto" w:fill="D9D9D9" w:themeFill="background1" w:themeFillShade="D9"/>
            <w:vAlign w:val="bottom"/>
          </w:tcPr>
          <w:p w14:paraId="049F0949" w14:textId="77777777" w:rsidR="00E465D0" w:rsidRPr="005D4542" w:rsidRDefault="00E465D0" w:rsidP="00302827">
            <w:pPr>
              <w:jc w:val="right"/>
              <w:rPr>
                <w:sz w:val="22"/>
                <w:szCs w:val="22"/>
              </w:rPr>
            </w:pPr>
            <w:r w:rsidRPr="005D4542">
              <w:rPr>
                <w:sz w:val="22"/>
                <w:szCs w:val="22"/>
              </w:rPr>
              <w:t>3.65</w:t>
            </w:r>
          </w:p>
        </w:tc>
        <w:tc>
          <w:tcPr>
            <w:tcW w:w="936" w:type="dxa"/>
            <w:tcBorders>
              <w:top w:val="single" w:sz="12" w:space="0" w:color="auto"/>
              <w:right w:val="single" w:sz="12" w:space="0" w:color="auto"/>
            </w:tcBorders>
            <w:shd w:val="clear" w:color="auto" w:fill="D9D9D9" w:themeFill="background1" w:themeFillShade="D9"/>
            <w:vAlign w:val="bottom"/>
          </w:tcPr>
          <w:p w14:paraId="6433DAD5" w14:textId="77777777" w:rsidR="00E465D0" w:rsidRPr="005D4542" w:rsidRDefault="00E465D0" w:rsidP="00302827">
            <w:pPr>
              <w:jc w:val="right"/>
              <w:rPr>
                <w:sz w:val="22"/>
                <w:szCs w:val="22"/>
              </w:rPr>
            </w:pPr>
            <w:r w:rsidRPr="005D4542">
              <w:rPr>
                <w:sz w:val="22"/>
                <w:szCs w:val="22"/>
              </w:rPr>
              <w:t>--</w:t>
            </w:r>
          </w:p>
        </w:tc>
        <w:tc>
          <w:tcPr>
            <w:tcW w:w="937" w:type="dxa"/>
            <w:tcBorders>
              <w:top w:val="single" w:sz="12" w:space="0" w:color="auto"/>
              <w:left w:val="single" w:sz="12" w:space="0" w:color="auto"/>
              <w:right w:val="single" w:sz="4" w:space="0" w:color="auto"/>
            </w:tcBorders>
            <w:vAlign w:val="bottom"/>
          </w:tcPr>
          <w:p w14:paraId="345F08C1" w14:textId="77777777" w:rsidR="00E465D0" w:rsidRPr="005D4542" w:rsidRDefault="00E465D0" w:rsidP="00302827">
            <w:pPr>
              <w:jc w:val="right"/>
              <w:rPr>
                <w:sz w:val="22"/>
                <w:szCs w:val="22"/>
              </w:rPr>
            </w:pPr>
            <w:r w:rsidRPr="005D4542">
              <w:rPr>
                <w:sz w:val="22"/>
                <w:szCs w:val="22"/>
              </w:rPr>
              <w:t>4.22</w:t>
            </w:r>
          </w:p>
        </w:tc>
        <w:tc>
          <w:tcPr>
            <w:tcW w:w="937" w:type="dxa"/>
            <w:tcBorders>
              <w:top w:val="single" w:sz="12" w:space="0" w:color="auto"/>
              <w:left w:val="single" w:sz="4" w:space="0" w:color="auto"/>
              <w:right w:val="double" w:sz="4" w:space="0" w:color="auto"/>
            </w:tcBorders>
            <w:vAlign w:val="bottom"/>
          </w:tcPr>
          <w:p w14:paraId="3CDF92C1" w14:textId="77777777" w:rsidR="00E465D0" w:rsidRPr="005D4542" w:rsidRDefault="00E465D0" w:rsidP="00302827">
            <w:pPr>
              <w:jc w:val="right"/>
              <w:rPr>
                <w:sz w:val="22"/>
                <w:szCs w:val="22"/>
              </w:rPr>
            </w:pPr>
            <w:r w:rsidRPr="005D4542">
              <w:rPr>
                <w:sz w:val="22"/>
                <w:szCs w:val="22"/>
              </w:rPr>
              <w:t>--</w:t>
            </w:r>
          </w:p>
        </w:tc>
      </w:tr>
      <w:tr w:rsidR="00E465D0" w:rsidRPr="00E465D0" w14:paraId="55AB8D2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74151F23" w14:textId="77777777" w:rsidR="00E465D0" w:rsidRPr="00E465D0" w:rsidRDefault="00E465D0" w:rsidP="00302827">
            <w:pPr>
              <w:jc w:val="center"/>
              <w:rPr>
                <w:sz w:val="20"/>
                <w:szCs w:val="20"/>
              </w:rPr>
            </w:pPr>
          </w:p>
        </w:tc>
        <w:tc>
          <w:tcPr>
            <w:tcW w:w="1260" w:type="dxa"/>
            <w:tcBorders>
              <w:right w:val="double" w:sz="4" w:space="0" w:color="auto"/>
            </w:tcBorders>
          </w:tcPr>
          <w:p w14:paraId="695887C2" w14:textId="77777777" w:rsidR="00E465D0" w:rsidRPr="00E465D0" w:rsidRDefault="00E465D0" w:rsidP="00302827">
            <w:pPr>
              <w:rPr>
                <w:sz w:val="18"/>
                <w:szCs w:val="18"/>
              </w:rPr>
            </w:pPr>
            <w:r w:rsidRPr="00E465D0">
              <w:rPr>
                <w:sz w:val="18"/>
                <w:szCs w:val="18"/>
              </w:rPr>
              <w:t>&lt; Monthly</w:t>
            </w:r>
          </w:p>
        </w:tc>
        <w:tc>
          <w:tcPr>
            <w:tcW w:w="936" w:type="dxa"/>
            <w:tcBorders>
              <w:left w:val="double" w:sz="4" w:space="0" w:color="auto"/>
            </w:tcBorders>
            <w:shd w:val="clear" w:color="auto" w:fill="D9D9D9" w:themeFill="background1" w:themeFillShade="D9"/>
            <w:vAlign w:val="bottom"/>
          </w:tcPr>
          <w:p w14:paraId="045D1C09" w14:textId="77777777" w:rsidR="00E465D0" w:rsidRPr="005D4542" w:rsidRDefault="00E465D0" w:rsidP="00302827">
            <w:pPr>
              <w:jc w:val="right"/>
              <w:rPr>
                <w:sz w:val="22"/>
                <w:szCs w:val="22"/>
              </w:rPr>
            </w:pPr>
            <w:r w:rsidRPr="005D4542">
              <w:rPr>
                <w:sz w:val="22"/>
                <w:szCs w:val="22"/>
              </w:rPr>
              <w:t>3.58</w:t>
            </w:r>
          </w:p>
        </w:tc>
        <w:tc>
          <w:tcPr>
            <w:tcW w:w="937" w:type="dxa"/>
            <w:tcBorders>
              <w:right w:val="single" w:sz="12" w:space="0" w:color="auto"/>
            </w:tcBorders>
            <w:shd w:val="clear" w:color="auto" w:fill="D9D9D9" w:themeFill="background1" w:themeFillShade="D9"/>
            <w:vAlign w:val="bottom"/>
          </w:tcPr>
          <w:p w14:paraId="030930BB" w14:textId="77777777" w:rsidR="00E465D0" w:rsidRPr="005D4542" w:rsidRDefault="00E465D0" w:rsidP="00302827">
            <w:pPr>
              <w:jc w:val="right"/>
              <w:rPr>
                <w:sz w:val="22"/>
                <w:szCs w:val="22"/>
              </w:rPr>
            </w:pPr>
            <w:r w:rsidRPr="005D4542">
              <w:rPr>
                <w:sz w:val="22"/>
                <w:szCs w:val="22"/>
              </w:rPr>
              <w:t>-2.0</w:t>
            </w:r>
          </w:p>
        </w:tc>
        <w:tc>
          <w:tcPr>
            <w:tcW w:w="937" w:type="dxa"/>
            <w:tcBorders>
              <w:left w:val="single" w:sz="12" w:space="0" w:color="auto"/>
            </w:tcBorders>
            <w:vAlign w:val="bottom"/>
          </w:tcPr>
          <w:p w14:paraId="129F36E6" w14:textId="77777777" w:rsidR="00E465D0" w:rsidRPr="005D4542" w:rsidRDefault="00E465D0" w:rsidP="00302827">
            <w:pPr>
              <w:jc w:val="right"/>
              <w:rPr>
                <w:sz w:val="22"/>
                <w:szCs w:val="22"/>
              </w:rPr>
            </w:pPr>
            <w:r w:rsidRPr="005D4542">
              <w:rPr>
                <w:sz w:val="22"/>
                <w:szCs w:val="22"/>
              </w:rPr>
              <w:t>5.19</w:t>
            </w:r>
          </w:p>
        </w:tc>
        <w:tc>
          <w:tcPr>
            <w:tcW w:w="936" w:type="dxa"/>
            <w:tcBorders>
              <w:right w:val="double" w:sz="4" w:space="0" w:color="auto"/>
            </w:tcBorders>
            <w:vAlign w:val="bottom"/>
          </w:tcPr>
          <w:p w14:paraId="0109DB8B" w14:textId="77777777" w:rsidR="00E465D0" w:rsidRPr="005D4542" w:rsidRDefault="00E465D0" w:rsidP="00302827">
            <w:pPr>
              <w:jc w:val="right"/>
              <w:rPr>
                <w:sz w:val="22"/>
                <w:szCs w:val="22"/>
              </w:rPr>
            </w:pPr>
            <w:r w:rsidRPr="005D4542">
              <w:rPr>
                <w:sz w:val="22"/>
                <w:szCs w:val="22"/>
              </w:rPr>
              <w:t>-4.1</w:t>
            </w:r>
          </w:p>
        </w:tc>
        <w:tc>
          <w:tcPr>
            <w:tcW w:w="937" w:type="dxa"/>
            <w:tcBorders>
              <w:left w:val="double" w:sz="4" w:space="0" w:color="auto"/>
              <w:right w:val="single" w:sz="4" w:space="0" w:color="auto"/>
            </w:tcBorders>
            <w:shd w:val="clear" w:color="auto" w:fill="D9D9D9" w:themeFill="background1" w:themeFillShade="D9"/>
            <w:vAlign w:val="bottom"/>
          </w:tcPr>
          <w:p w14:paraId="723820A3" w14:textId="77777777" w:rsidR="00E465D0" w:rsidRPr="005D4542" w:rsidRDefault="00E465D0" w:rsidP="00302827">
            <w:pPr>
              <w:jc w:val="right"/>
              <w:rPr>
                <w:sz w:val="22"/>
                <w:szCs w:val="22"/>
              </w:rPr>
            </w:pPr>
            <w:r w:rsidRPr="005D4542">
              <w:rPr>
                <w:sz w:val="22"/>
                <w:szCs w:val="22"/>
              </w:rPr>
              <w:t>4.00</w:t>
            </w:r>
          </w:p>
        </w:tc>
        <w:tc>
          <w:tcPr>
            <w:tcW w:w="937" w:type="dxa"/>
            <w:tcBorders>
              <w:left w:val="single" w:sz="4" w:space="0" w:color="auto"/>
              <w:right w:val="single" w:sz="12" w:space="0" w:color="auto"/>
            </w:tcBorders>
            <w:shd w:val="clear" w:color="auto" w:fill="D9D9D9" w:themeFill="background1" w:themeFillShade="D9"/>
            <w:vAlign w:val="bottom"/>
          </w:tcPr>
          <w:p w14:paraId="6E48EF72" w14:textId="77777777" w:rsidR="00E465D0" w:rsidRPr="005D4542" w:rsidRDefault="00E465D0" w:rsidP="00302827">
            <w:pPr>
              <w:jc w:val="right"/>
              <w:rPr>
                <w:sz w:val="22"/>
                <w:szCs w:val="22"/>
              </w:rPr>
            </w:pPr>
            <w:r w:rsidRPr="005D4542">
              <w:rPr>
                <w:sz w:val="22"/>
                <w:szCs w:val="22"/>
              </w:rPr>
              <w:t>-2.0</w:t>
            </w:r>
          </w:p>
        </w:tc>
        <w:tc>
          <w:tcPr>
            <w:tcW w:w="936" w:type="dxa"/>
            <w:tcBorders>
              <w:left w:val="single" w:sz="12" w:space="0" w:color="auto"/>
              <w:right w:val="single" w:sz="4" w:space="0" w:color="auto"/>
            </w:tcBorders>
            <w:vAlign w:val="bottom"/>
          </w:tcPr>
          <w:p w14:paraId="7F16D2E2" w14:textId="77777777" w:rsidR="00E465D0" w:rsidRPr="005D4542" w:rsidRDefault="00E465D0" w:rsidP="00302827">
            <w:pPr>
              <w:jc w:val="right"/>
              <w:rPr>
                <w:sz w:val="22"/>
                <w:szCs w:val="22"/>
              </w:rPr>
            </w:pPr>
            <w:r w:rsidRPr="005D4542">
              <w:rPr>
                <w:sz w:val="22"/>
                <w:szCs w:val="22"/>
              </w:rPr>
              <w:t>5.07</w:t>
            </w:r>
          </w:p>
        </w:tc>
        <w:tc>
          <w:tcPr>
            <w:tcW w:w="937" w:type="dxa"/>
            <w:tcBorders>
              <w:left w:val="single" w:sz="4" w:space="0" w:color="auto"/>
              <w:right w:val="double" w:sz="4" w:space="0" w:color="auto"/>
            </w:tcBorders>
            <w:vAlign w:val="bottom"/>
          </w:tcPr>
          <w:p w14:paraId="29A52CA7" w14:textId="77777777" w:rsidR="00E465D0" w:rsidRPr="005D4542" w:rsidRDefault="00E465D0" w:rsidP="00302827">
            <w:pPr>
              <w:jc w:val="right"/>
              <w:rPr>
                <w:sz w:val="22"/>
                <w:szCs w:val="22"/>
              </w:rPr>
            </w:pPr>
            <w:r w:rsidRPr="005D4542">
              <w:rPr>
                <w:sz w:val="22"/>
                <w:szCs w:val="22"/>
              </w:rPr>
              <w:t>-4.2</w:t>
            </w:r>
          </w:p>
        </w:tc>
        <w:tc>
          <w:tcPr>
            <w:tcW w:w="937" w:type="dxa"/>
            <w:tcBorders>
              <w:left w:val="double" w:sz="4" w:space="0" w:color="auto"/>
            </w:tcBorders>
            <w:shd w:val="clear" w:color="auto" w:fill="D9D9D9" w:themeFill="background1" w:themeFillShade="D9"/>
            <w:vAlign w:val="bottom"/>
          </w:tcPr>
          <w:p w14:paraId="40AEC295" w14:textId="77777777" w:rsidR="00E465D0" w:rsidRPr="005D4542" w:rsidRDefault="00E465D0" w:rsidP="00302827">
            <w:pPr>
              <w:jc w:val="right"/>
              <w:rPr>
                <w:sz w:val="22"/>
                <w:szCs w:val="22"/>
              </w:rPr>
            </w:pPr>
            <w:r w:rsidRPr="005D4542">
              <w:rPr>
                <w:sz w:val="22"/>
                <w:szCs w:val="22"/>
              </w:rPr>
              <w:t>3.58</w:t>
            </w:r>
          </w:p>
        </w:tc>
        <w:tc>
          <w:tcPr>
            <w:tcW w:w="936" w:type="dxa"/>
            <w:tcBorders>
              <w:right w:val="single" w:sz="12" w:space="0" w:color="auto"/>
            </w:tcBorders>
            <w:shd w:val="clear" w:color="auto" w:fill="D9D9D9" w:themeFill="background1" w:themeFillShade="D9"/>
            <w:vAlign w:val="bottom"/>
          </w:tcPr>
          <w:p w14:paraId="0B6BA5A6" w14:textId="77777777" w:rsidR="00E465D0" w:rsidRPr="005D4542" w:rsidRDefault="00E465D0" w:rsidP="00302827">
            <w:pPr>
              <w:jc w:val="right"/>
              <w:rPr>
                <w:sz w:val="22"/>
                <w:szCs w:val="22"/>
              </w:rPr>
            </w:pPr>
            <w:r w:rsidRPr="005D4542">
              <w:rPr>
                <w:sz w:val="22"/>
                <w:szCs w:val="22"/>
              </w:rPr>
              <w:t>-2.0</w:t>
            </w:r>
          </w:p>
        </w:tc>
        <w:tc>
          <w:tcPr>
            <w:tcW w:w="937" w:type="dxa"/>
            <w:tcBorders>
              <w:left w:val="single" w:sz="12" w:space="0" w:color="auto"/>
              <w:right w:val="single" w:sz="4" w:space="0" w:color="auto"/>
            </w:tcBorders>
            <w:vAlign w:val="bottom"/>
          </w:tcPr>
          <w:p w14:paraId="3BBE8AC6" w14:textId="77777777" w:rsidR="00E465D0" w:rsidRPr="005D4542" w:rsidRDefault="00E465D0" w:rsidP="00302827">
            <w:pPr>
              <w:jc w:val="right"/>
              <w:rPr>
                <w:sz w:val="22"/>
                <w:szCs w:val="22"/>
              </w:rPr>
            </w:pPr>
            <w:r w:rsidRPr="005D4542">
              <w:rPr>
                <w:sz w:val="22"/>
                <w:szCs w:val="22"/>
              </w:rPr>
              <w:t>4.02</w:t>
            </w:r>
          </w:p>
        </w:tc>
        <w:tc>
          <w:tcPr>
            <w:tcW w:w="937" w:type="dxa"/>
            <w:tcBorders>
              <w:left w:val="single" w:sz="4" w:space="0" w:color="auto"/>
              <w:right w:val="double" w:sz="4" w:space="0" w:color="auto"/>
            </w:tcBorders>
            <w:vAlign w:val="bottom"/>
          </w:tcPr>
          <w:p w14:paraId="17DEB3FC" w14:textId="77777777" w:rsidR="00E465D0" w:rsidRPr="005D4542" w:rsidRDefault="00E465D0" w:rsidP="00302827">
            <w:pPr>
              <w:jc w:val="right"/>
              <w:rPr>
                <w:sz w:val="22"/>
                <w:szCs w:val="22"/>
              </w:rPr>
            </w:pPr>
            <w:r w:rsidRPr="005D4542">
              <w:rPr>
                <w:sz w:val="22"/>
                <w:szCs w:val="22"/>
              </w:rPr>
              <w:t>-4.6</w:t>
            </w:r>
          </w:p>
        </w:tc>
      </w:tr>
      <w:tr w:rsidR="00E465D0" w:rsidRPr="00E465D0" w14:paraId="716BD537"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15323BB" w14:textId="77777777" w:rsidR="00E465D0" w:rsidRPr="00E465D0" w:rsidRDefault="00E465D0" w:rsidP="00302827">
            <w:pPr>
              <w:jc w:val="center"/>
              <w:rPr>
                <w:sz w:val="20"/>
                <w:szCs w:val="20"/>
              </w:rPr>
            </w:pPr>
          </w:p>
        </w:tc>
        <w:tc>
          <w:tcPr>
            <w:tcW w:w="1260" w:type="dxa"/>
            <w:tcBorders>
              <w:right w:val="double" w:sz="4" w:space="0" w:color="auto"/>
            </w:tcBorders>
          </w:tcPr>
          <w:p w14:paraId="5D8E7B7F" w14:textId="4DCFF687" w:rsidR="00E465D0" w:rsidRPr="00E465D0" w:rsidRDefault="007D67AC" w:rsidP="00302827">
            <w:pPr>
              <w:rPr>
                <w:sz w:val="18"/>
                <w:szCs w:val="18"/>
              </w:rPr>
            </w:pPr>
            <w:r>
              <w:rPr>
                <w:sz w:val="18"/>
                <w:szCs w:val="18"/>
              </w:rPr>
              <w:t>1-3</w:t>
            </w:r>
            <w:r w:rsidR="00E465D0" w:rsidRPr="00E465D0">
              <w:rPr>
                <w:sz w:val="18"/>
                <w:szCs w:val="18"/>
              </w:rPr>
              <w:t xml:space="preserve"> days/mo.</w:t>
            </w:r>
          </w:p>
        </w:tc>
        <w:tc>
          <w:tcPr>
            <w:tcW w:w="936" w:type="dxa"/>
            <w:tcBorders>
              <w:left w:val="double" w:sz="4" w:space="0" w:color="auto"/>
            </w:tcBorders>
            <w:shd w:val="clear" w:color="auto" w:fill="D9D9D9" w:themeFill="background1" w:themeFillShade="D9"/>
            <w:vAlign w:val="bottom"/>
          </w:tcPr>
          <w:p w14:paraId="3E24AAAD" w14:textId="77777777" w:rsidR="00E465D0" w:rsidRPr="005D4542" w:rsidRDefault="00E465D0" w:rsidP="00302827">
            <w:pPr>
              <w:jc w:val="right"/>
              <w:rPr>
                <w:sz w:val="22"/>
                <w:szCs w:val="22"/>
              </w:rPr>
            </w:pPr>
            <w:r w:rsidRPr="005D4542">
              <w:rPr>
                <w:sz w:val="22"/>
                <w:szCs w:val="22"/>
              </w:rPr>
              <w:t>3.78</w:t>
            </w:r>
          </w:p>
        </w:tc>
        <w:tc>
          <w:tcPr>
            <w:tcW w:w="937" w:type="dxa"/>
            <w:tcBorders>
              <w:right w:val="single" w:sz="12" w:space="0" w:color="auto"/>
            </w:tcBorders>
            <w:shd w:val="clear" w:color="auto" w:fill="D9D9D9" w:themeFill="background1" w:themeFillShade="D9"/>
            <w:vAlign w:val="bottom"/>
          </w:tcPr>
          <w:p w14:paraId="1FB48C23" w14:textId="77777777" w:rsidR="00E465D0" w:rsidRPr="005D4542" w:rsidRDefault="00E465D0" w:rsidP="00302827">
            <w:pPr>
              <w:jc w:val="right"/>
              <w:rPr>
                <w:sz w:val="22"/>
                <w:szCs w:val="22"/>
              </w:rPr>
            </w:pPr>
            <w:r w:rsidRPr="005D4542">
              <w:rPr>
                <w:sz w:val="22"/>
                <w:szCs w:val="22"/>
              </w:rPr>
              <w:t>3.4</w:t>
            </w:r>
          </w:p>
        </w:tc>
        <w:tc>
          <w:tcPr>
            <w:tcW w:w="937" w:type="dxa"/>
            <w:tcBorders>
              <w:left w:val="single" w:sz="12" w:space="0" w:color="auto"/>
            </w:tcBorders>
            <w:vAlign w:val="bottom"/>
          </w:tcPr>
          <w:p w14:paraId="6C70D3A8" w14:textId="77777777" w:rsidR="00E465D0" w:rsidRPr="005D4542" w:rsidRDefault="00E465D0" w:rsidP="00302827">
            <w:pPr>
              <w:jc w:val="right"/>
              <w:rPr>
                <w:sz w:val="22"/>
                <w:szCs w:val="22"/>
              </w:rPr>
            </w:pPr>
            <w:r w:rsidRPr="005D4542">
              <w:rPr>
                <w:sz w:val="22"/>
                <w:szCs w:val="22"/>
              </w:rPr>
              <w:t>6.09</w:t>
            </w:r>
          </w:p>
        </w:tc>
        <w:tc>
          <w:tcPr>
            <w:tcW w:w="936" w:type="dxa"/>
            <w:tcBorders>
              <w:right w:val="double" w:sz="4" w:space="0" w:color="auto"/>
            </w:tcBorders>
            <w:vAlign w:val="bottom"/>
          </w:tcPr>
          <w:p w14:paraId="3F74D608" w14:textId="77777777" w:rsidR="00E465D0" w:rsidRPr="005D4542" w:rsidRDefault="00E465D0" w:rsidP="00302827">
            <w:pPr>
              <w:jc w:val="right"/>
              <w:rPr>
                <w:sz w:val="22"/>
                <w:szCs w:val="22"/>
              </w:rPr>
            </w:pPr>
            <w:r w:rsidRPr="005D4542">
              <w:rPr>
                <w:sz w:val="22"/>
                <w:szCs w:val="22"/>
              </w:rPr>
              <w:t>12.5</w:t>
            </w:r>
          </w:p>
        </w:tc>
        <w:tc>
          <w:tcPr>
            <w:tcW w:w="937" w:type="dxa"/>
            <w:tcBorders>
              <w:left w:val="double" w:sz="4" w:space="0" w:color="auto"/>
              <w:right w:val="single" w:sz="4" w:space="0" w:color="auto"/>
            </w:tcBorders>
            <w:shd w:val="clear" w:color="auto" w:fill="D9D9D9" w:themeFill="background1" w:themeFillShade="D9"/>
            <w:vAlign w:val="bottom"/>
          </w:tcPr>
          <w:p w14:paraId="0043D072" w14:textId="77777777" w:rsidR="00E465D0" w:rsidRPr="005D4542" w:rsidRDefault="00E465D0" w:rsidP="00302827">
            <w:pPr>
              <w:jc w:val="right"/>
              <w:rPr>
                <w:sz w:val="22"/>
                <w:szCs w:val="22"/>
              </w:rPr>
            </w:pPr>
            <w:r w:rsidRPr="005D4542">
              <w:rPr>
                <w:sz w:val="22"/>
                <w:szCs w:val="22"/>
              </w:rPr>
              <w:t>4.22</w:t>
            </w:r>
          </w:p>
        </w:tc>
        <w:tc>
          <w:tcPr>
            <w:tcW w:w="937" w:type="dxa"/>
            <w:tcBorders>
              <w:left w:val="single" w:sz="4" w:space="0" w:color="auto"/>
              <w:right w:val="single" w:sz="12" w:space="0" w:color="auto"/>
            </w:tcBorders>
            <w:shd w:val="clear" w:color="auto" w:fill="D9D9D9" w:themeFill="background1" w:themeFillShade="D9"/>
            <w:vAlign w:val="bottom"/>
          </w:tcPr>
          <w:p w14:paraId="44A0493B" w14:textId="77777777" w:rsidR="00E465D0" w:rsidRPr="005D4542" w:rsidRDefault="00E465D0" w:rsidP="00302827">
            <w:pPr>
              <w:jc w:val="right"/>
              <w:rPr>
                <w:sz w:val="22"/>
                <w:szCs w:val="22"/>
              </w:rPr>
            </w:pPr>
            <w:r w:rsidRPr="005D4542">
              <w:rPr>
                <w:sz w:val="22"/>
                <w:szCs w:val="22"/>
              </w:rPr>
              <w:t>3.4</w:t>
            </w:r>
          </w:p>
        </w:tc>
        <w:tc>
          <w:tcPr>
            <w:tcW w:w="936" w:type="dxa"/>
            <w:tcBorders>
              <w:left w:val="single" w:sz="12" w:space="0" w:color="auto"/>
              <w:right w:val="single" w:sz="4" w:space="0" w:color="auto"/>
            </w:tcBorders>
            <w:vAlign w:val="bottom"/>
          </w:tcPr>
          <w:p w14:paraId="54262F88" w14:textId="77777777" w:rsidR="00E465D0" w:rsidRPr="005D4542" w:rsidRDefault="00E465D0" w:rsidP="00302827">
            <w:pPr>
              <w:jc w:val="right"/>
              <w:rPr>
                <w:sz w:val="22"/>
                <w:szCs w:val="22"/>
              </w:rPr>
            </w:pPr>
            <w:r w:rsidRPr="005D4542">
              <w:rPr>
                <w:sz w:val="22"/>
                <w:szCs w:val="22"/>
              </w:rPr>
              <w:t>5.96</w:t>
            </w:r>
          </w:p>
        </w:tc>
        <w:tc>
          <w:tcPr>
            <w:tcW w:w="937" w:type="dxa"/>
            <w:tcBorders>
              <w:left w:val="single" w:sz="4" w:space="0" w:color="auto"/>
              <w:right w:val="double" w:sz="4" w:space="0" w:color="auto"/>
            </w:tcBorders>
            <w:vAlign w:val="bottom"/>
          </w:tcPr>
          <w:p w14:paraId="57FA4720" w14:textId="77777777" w:rsidR="00E465D0" w:rsidRPr="005D4542" w:rsidRDefault="00E465D0" w:rsidP="00302827">
            <w:pPr>
              <w:jc w:val="right"/>
              <w:rPr>
                <w:sz w:val="22"/>
                <w:szCs w:val="22"/>
              </w:rPr>
            </w:pPr>
            <w:r w:rsidRPr="005D4542">
              <w:rPr>
                <w:sz w:val="22"/>
                <w:szCs w:val="22"/>
              </w:rPr>
              <w:t>12.7</w:t>
            </w:r>
          </w:p>
        </w:tc>
        <w:tc>
          <w:tcPr>
            <w:tcW w:w="937" w:type="dxa"/>
            <w:tcBorders>
              <w:left w:val="double" w:sz="4" w:space="0" w:color="auto"/>
            </w:tcBorders>
            <w:shd w:val="clear" w:color="auto" w:fill="D9D9D9" w:themeFill="background1" w:themeFillShade="D9"/>
            <w:vAlign w:val="bottom"/>
          </w:tcPr>
          <w:p w14:paraId="378784D8" w14:textId="77777777" w:rsidR="00E465D0" w:rsidRPr="005D4542" w:rsidRDefault="00E465D0" w:rsidP="00302827">
            <w:pPr>
              <w:jc w:val="right"/>
              <w:rPr>
                <w:sz w:val="22"/>
                <w:szCs w:val="22"/>
              </w:rPr>
            </w:pPr>
            <w:r w:rsidRPr="005D4542">
              <w:rPr>
                <w:sz w:val="22"/>
                <w:szCs w:val="22"/>
              </w:rPr>
              <w:t>3.78</w:t>
            </w:r>
          </w:p>
        </w:tc>
        <w:tc>
          <w:tcPr>
            <w:tcW w:w="936" w:type="dxa"/>
            <w:tcBorders>
              <w:right w:val="single" w:sz="12" w:space="0" w:color="auto"/>
            </w:tcBorders>
            <w:shd w:val="clear" w:color="auto" w:fill="D9D9D9" w:themeFill="background1" w:themeFillShade="D9"/>
            <w:vAlign w:val="bottom"/>
          </w:tcPr>
          <w:p w14:paraId="650033B9" w14:textId="77777777" w:rsidR="00E465D0" w:rsidRPr="005D4542" w:rsidRDefault="00E465D0" w:rsidP="00302827">
            <w:pPr>
              <w:jc w:val="right"/>
              <w:rPr>
                <w:sz w:val="22"/>
                <w:szCs w:val="22"/>
              </w:rPr>
            </w:pPr>
            <w:r w:rsidRPr="005D4542">
              <w:rPr>
                <w:sz w:val="22"/>
                <w:szCs w:val="22"/>
              </w:rPr>
              <w:t>3.5</w:t>
            </w:r>
          </w:p>
        </w:tc>
        <w:tc>
          <w:tcPr>
            <w:tcW w:w="937" w:type="dxa"/>
            <w:tcBorders>
              <w:left w:val="single" w:sz="12" w:space="0" w:color="auto"/>
              <w:right w:val="single" w:sz="4" w:space="0" w:color="auto"/>
            </w:tcBorders>
            <w:vAlign w:val="bottom"/>
          </w:tcPr>
          <w:p w14:paraId="53CD3791" w14:textId="77777777" w:rsidR="00E465D0" w:rsidRPr="005D4542" w:rsidRDefault="00E465D0" w:rsidP="00302827">
            <w:pPr>
              <w:jc w:val="right"/>
              <w:rPr>
                <w:sz w:val="22"/>
                <w:szCs w:val="22"/>
              </w:rPr>
            </w:pPr>
            <w:r w:rsidRPr="005D4542">
              <w:rPr>
                <w:sz w:val="22"/>
                <w:szCs w:val="22"/>
              </w:rPr>
              <w:t>4.85</w:t>
            </w:r>
          </w:p>
        </w:tc>
        <w:tc>
          <w:tcPr>
            <w:tcW w:w="937" w:type="dxa"/>
            <w:tcBorders>
              <w:left w:val="single" w:sz="4" w:space="0" w:color="auto"/>
              <w:right w:val="double" w:sz="4" w:space="0" w:color="auto"/>
            </w:tcBorders>
            <w:vAlign w:val="bottom"/>
          </w:tcPr>
          <w:p w14:paraId="02D99D15" w14:textId="77777777" w:rsidR="00E465D0" w:rsidRPr="005D4542" w:rsidRDefault="00E465D0" w:rsidP="00302827">
            <w:pPr>
              <w:jc w:val="right"/>
              <w:rPr>
                <w:sz w:val="22"/>
                <w:szCs w:val="22"/>
              </w:rPr>
            </w:pPr>
            <w:r w:rsidRPr="005D4542">
              <w:rPr>
                <w:sz w:val="22"/>
                <w:szCs w:val="22"/>
              </w:rPr>
              <w:t>15.1</w:t>
            </w:r>
          </w:p>
        </w:tc>
      </w:tr>
      <w:tr w:rsidR="00E465D0" w:rsidRPr="00E465D0" w14:paraId="12F0C507"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50DF8DBA" w14:textId="77777777" w:rsidR="00E465D0" w:rsidRPr="00E465D0" w:rsidRDefault="00E465D0" w:rsidP="00302827">
            <w:pPr>
              <w:jc w:val="center"/>
              <w:rPr>
                <w:sz w:val="20"/>
                <w:szCs w:val="20"/>
              </w:rPr>
            </w:pPr>
          </w:p>
        </w:tc>
        <w:tc>
          <w:tcPr>
            <w:tcW w:w="1260" w:type="dxa"/>
            <w:tcBorders>
              <w:right w:val="double" w:sz="4" w:space="0" w:color="auto"/>
            </w:tcBorders>
          </w:tcPr>
          <w:p w14:paraId="2B4CF4F5" w14:textId="77777777" w:rsidR="00E465D0" w:rsidRPr="00E465D0" w:rsidRDefault="00E465D0" w:rsidP="00302827">
            <w:pPr>
              <w:rPr>
                <w:sz w:val="18"/>
                <w:szCs w:val="18"/>
              </w:rPr>
            </w:pPr>
            <w:r w:rsidRPr="00E465D0">
              <w:rPr>
                <w:sz w:val="18"/>
                <w:szCs w:val="18"/>
              </w:rPr>
              <w:t>1 day/wk.</w:t>
            </w:r>
          </w:p>
        </w:tc>
        <w:tc>
          <w:tcPr>
            <w:tcW w:w="936" w:type="dxa"/>
            <w:tcBorders>
              <w:left w:val="double" w:sz="4" w:space="0" w:color="auto"/>
            </w:tcBorders>
            <w:shd w:val="clear" w:color="auto" w:fill="D9D9D9" w:themeFill="background1" w:themeFillShade="D9"/>
            <w:vAlign w:val="bottom"/>
          </w:tcPr>
          <w:p w14:paraId="425E336B" w14:textId="77777777" w:rsidR="00E465D0" w:rsidRPr="005D4542" w:rsidRDefault="00E465D0" w:rsidP="00302827">
            <w:pPr>
              <w:jc w:val="right"/>
              <w:rPr>
                <w:sz w:val="22"/>
                <w:szCs w:val="22"/>
              </w:rPr>
            </w:pPr>
            <w:r w:rsidRPr="005D4542">
              <w:rPr>
                <w:sz w:val="22"/>
                <w:szCs w:val="22"/>
              </w:rPr>
              <w:t>3.71</w:t>
            </w:r>
          </w:p>
        </w:tc>
        <w:tc>
          <w:tcPr>
            <w:tcW w:w="937" w:type="dxa"/>
            <w:tcBorders>
              <w:right w:val="single" w:sz="12" w:space="0" w:color="auto"/>
            </w:tcBorders>
            <w:shd w:val="clear" w:color="auto" w:fill="D9D9D9" w:themeFill="background1" w:themeFillShade="D9"/>
            <w:vAlign w:val="bottom"/>
          </w:tcPr>
          <w:p w14:paraId="32E77699" w14:textId="77777777" w:rsidR="00E465D0" w:rsidRPr="005D4542" w:rsidRDefault="00E465D0" w:rsidP="00302827">
            <w:pPr>
              <w:jc w:val="right"/>
              <w:rPr>
                <w:sz w:val="22"/>
                <w:szCs w:val="22"/>
              </w:rPr>
            </w:pPr>
            <w:r w:rsidRPr="005D4542">
              <w:rPr>
                <w:sz w:val="22"/>
                <w:szCs w:val="22"/>
              </w:rPr>
              <w:t>1.6</w:t>
            </w:r>
          </w:p>
        </w:tc>
        <w:tc>
          <w:tcPr>
            <w:tcW w:w="937" w:type="dxa"/>
            <w:tcBorders>
              <w:left w:val="single" w:sz="12" w:space="0" w:color="auto"/>
            </w:tcBorders>
            <w:vAlign w:val="bottom"/>
          </w:tcPr>
          <w:p w14:paraId="74BDA68B" w14:textId="77777777" w:rsidR="00E465D0" w:rsidRPr="005D4542" w:rsidRDefault="00E465D0" w:rsidP="00302827">
            <w:pPr>
              <w:jc w:val="right"/>
              <w:rPr>
                <w:sz w:val="22"/>
                <w:szCs w:val="22"/>
              </w:rPr>
            </w:pPr>
            <w:r w:rsidRPr="005D4542">
              <w:rPr>
                <w:sz w:val="22"/>
                <w:szCs w:val="22"/>
              </w:rPr>
              <w:t>5.81</w:t>
            </w:r>
          </w:p>
        </w:tc>
        <w:tc>
          <w:tcPr>
            <w:tcW w:w="936" w:type="dxa"/>
            <w:tcBorders>
              <w:right w:val="double" w:sz="4" w:space="0" w:color="auto"/>
            </w:tcBorders>
            <w:vAlign w:val="bottom"/>
          </w:tcPr>
          <w:p w14:paraId="2AAB0FF8" w14:textId="77777777" w:rsidR="00E465D0" w:rsidRPr="005D4542" w:rsidRDefault="00E465D0" w:rsidP="00302827">
            <w:pPr>
              <w:jc w:val="right"/>
              <w:rPr>
                <w:sz w:val="22"/>
                <w:szCs w:val="22"/>
              </w:rPr>
            </w:pPr>
            <w:r w:rsidRPr="005D4542">
              <w:rPr>
                <w:sz w:val="22"/>
                <w:szCs w:val="22"/>
              </w:rPr>
              <w:t>7.3</w:t>
            </w:r>
          </w:p>
        </w:tc>
        <w:tc>
          <w:tcPr>
            <w:tcW w:w="937" w:type="dxa"/>
            <w:tcBorders>
              <w:left w:val="double" w:sz="4" w:space="0" w:color="auto"/>
              <w:right w:val="single" w:sz="4" w:space="0" w:color="auto"/>
            </w:tcBorders>
            <w:shd w:val="clear" w:color="auto" w:fill="D9D9D9" w:themeFill="background1" w:themeFillShade="D9"/>
            <w:vAlign w:val="bottom"/>
          </w:tcPr>
          <w:p w14:paraId="7F905F1A" w14:textId="77777777" w:rsidR="00E465D0" w:rsidRPr="005D4542" w:rsidRDefault="00E465D0" w:rsidP="00302827">
            <w:pPr>
              <w:jc w:val="right"/>
              <w:rPr>
                <w:sz w:val="22"/>
                <w:szCs w:val="22"/>
              </w:rPr>
            </w:pPr>
            <w:r w:rsidRPr="005D4542">
              <w:rPr>
                <w:sz w:val="22"/>
                <w:szCs w:val="22"/>
              </w:rPr>
              <w:t>4.15</w:t>
            </w:r>
          </w:p>
        </w:tc>
        <w:tc>
          <w:tcPr>
            <w:tcW w:w="937" w:type="dxa"/>
            <w:tcBorders>
              <w:left w:val="single" w:sz="4" w:space="0" w:color="auto"/>
              <w:right w:val="single" w:sz="12" w:space="0" w:color="auto"/>
            </w:tcBorders>
            <w:shd w:val="clear" w:color="auto" w:fill="D9D9D9" w:themeFill="background1" w:themeFillShade="D9"/>
            <w:vAlign w:val="bottom"/>
          </w:tcPr>
          <w:p w14:paraId="609D699F" w14:textId="77777777" w:rsidR="00E465D0" w:rsidRPr="005D4542" w:rsidRDefault="00E465D0" w:rsidP="00302827">
            <w:pPr>
              <w:jc w:val="right"/>
              <w:rPr>
                <w:sz w:val="22"/>
                <w:szCs w:val="22"/>
              </w:rPr>
            </w:pPr>
            <w:r w:rsidRPr="005D4542">
              <w:rPr>
                <w:sz w:val="22"/>
                <w:szCs w:val="22"/>
              </w:rPr>
              <w:t>1.6</w:t>
            </w:r>
          </w:p>
        </w:tc>
        <w:tc>
          <w:tcPr>
            <w:tcW w:w="936" w:type="dxa"/>
            <w:tcBorders>
              <w:left w:val="single" w:sz="12" w:space="0" w:color="auto"/>
              <w:right w:val="single" w:sz="4" w:space="0" w:color="auto"/>
            </w:tcBorders>
            <w:vAlign w:val="bottom"/>
          </w:tcPr>
          <w:p w14:paraId="11E9D84C" w14:textId="77777777" w:rsidR="00E465D0" w:rsidRPr="005D4542" w:rsidRDefault="00E465D0" w:rsidP="00302827">
            <w:pPr>
              <w:jc w:val="right"/>
              <w:rPr>
                <w:sz w:val="22"/>
                <w:szCs w:val="22"/>
              </w:rPr>
            </w:pPr>
            <w:r w:rsidRPr="005D4542">
              <w:rPr>
                <w:sz w:val="22"/>
                <w:szCs w:val="22"/>
              </w:rPr>
              <w:t>5.68</w:t>
            </w:r>
          </w:p>
        </w:tc>
        <w:tc>
          <w:tcPr>
            <w:tcW w:w="937" w:type="dxa"/>
            <w:tcBorders>
              <w:left w:val="single" w:sz="4" w:space="0" w:color="auto"/>
              <w:right w:val="double" w:sz="4" w:space="0" w:color="auto"/>
            </w:tcBorders>
            <w:vAlign w:val="bottom"/>
          </w:tcPr>
          <w:p w14:paraId="531BA5CA" w14:textId="77777777" w:rsidR="00E465D0" w:rsidRPr="005D4542" w:rsidRDefault="00E465D0" w:rsidP="00302827">
            <w:pPr>
              <w:jc w:val="right"/>
              <w:rPr>
                <w:sz w:val="22"/>
                <w:szCs w:val="22"/>
              </w:rPr>
            </w:pPr>
            <w:r w:rsidRPr="005D4542">
              <w:rPr>
                <w:sz w:val="22"/>
                <w:szCs w:val="22"/>
              </w:rPr>
              <w:t>7.4</w:t>
            </w:r>
          </w:p>
        </w:tc>
        <w:tc>
          <w:tcPr>
            <w:tcW w:w="937" w:type="dxa"/>
            <w:tcBorders>
              <w:left w:val="double" w:sz="4" w:space="0" w:color="auto"/>
            </w:tcBorders>
            <w:shd w:val="clear" w:color="auto" w:fill="D9D9D9" w:themeFill="background1" w:themeFillShade="D9"/>
            <w:vAlign w:val="bottom"/>
          </w:tcPr>
          <w:p w14:paraId="66B4097A" w14:textId="77777777" w:rsidR="00E465D0" w:rsidRPr="005D4542" w:rsidRDefault="00E465D0" w:rsidP="00302827">
            <w:pPr>
              <w:jc w:val="right"/>
              <w:rPr>
                <w:sz w:val="22"/>
                <w:szCs w:val="22"/>
              </w:rPr>
            </w:pPr>
            <w:r w:rsidRPr="005D4542">
              <w:rPr>
                <w:sz w:val="22"/>
                <w:szCs w:val="22"/>
              </w:rPr>
              <w:t>3.71</w:t>
            </w:r>
          </w:p>
        </w:tc>
        <w:tc>
          <w:tcPr>
            <w:tcW w:w="936" w:type="dxa"/>
            <w:tcBorders>
              <w:right w:val="single" w:sz="12" w:space="0" w:color="auto"/>
            </w:tcBorders>
            <w:shd w:val="clear" w:color="auto" w:fill="D9D9D9" w:themeFill="background1" w:themeFillShade="D9"/>
            <w:vAlign w:val="bottom"/>
          </w:tcPr>
          <w:p w14:paraId="23DC7805" w14:textId="77777777" w:rsidR="00E465D0" w:rsidRPr="005D4542" w:rsidRDefault="00E465D0" w:rsidP="00302827">
            <w:pPr>
              <w:jc w:val="right"/>
              <w:rPr>
                <w:sz w:val="22"/>
                <w:szCs w:val="22"/>
              </w:rPr>
            </w:pPr>
            <w:r w:rsidRPr="005D4542">
              <w:rPr>
                <w:sz w:val="22"/>
                <w:szCs w:val="22"/>
              </w:rPr>
              <w:t>1.5</w:t>
            </w:r>
          </w:p>
        </w:tc>
        <w:tc>
          <w:tcPr>
            <w:tcW w:w="937" w:type="dxa"/>
            <w:tcBorders>
              <w:left w:val="single" w:sz="12" w:space="0" w:color="auto"/>
              <w:right w:val="single" w:sz="4" w:space="0" w:color="auto"/>
            </w:tcBorders>
            <w:vAlign w:val="bottom"/>
          </w:tcPr>
          <w:p w14:paraId="5BF52477" w14:textId="77777777" w:rsidR="00E465D0" w:rsidRPr="005D4542" w:rsidRDefault="00E465D0" w:rsidP="00302827">
            <w:pPr>
              <w:jc w:val="right"/>
              <w:rPr>
                <w:sz w:val="22"/>
                <w:szCs w:val="22"/>
              </w:rPr>
            </w:pPr>
            <w:r w:rsidRPr="005D4542">
              <w:rPr>
                <w:sz w:val="22"/>
                <w:szCs w:val="22"/>
              </w:rPr>
              <w:t>4.58</w:t>
            </w:r>
          </w:p>
        </w:tc>
        <w:tc>
          <w:tcPr>
            <w:tcW w:w="937" w:type="dxa"/>
            <w:tcBorders>
              <w:left w:val="single" w:sz="4" w:space="0" w:color="auto"/>
              <w:right w:val="double" w:sz="4" w:space="0" w:color="auto"/>
            </w:tcBorders>
            <w:vAlign w:val="bottom"/>
          </w:tcPr>
          <w:p w14:paraId="6684E276" w14:textId="77777777" w:rsidR="00E465D0" w:rsidRPr="005D4542" w:rsidRDefault="00E465D0" w:rsidP="00302827">
            <w:pPr>
              <w:jc w:val="right"/>
              <w:rPr>
                <w:sz w:val="22"/>
                <w:szCs w:val="22"/>
              </w:rPr>
            </w:pPr>
            <w:r w:rsidRPr="005D4542">
              <w:rPr>
                <w:sz w:val="22"/>
                <w:szCs w:val="22"/>
              </w:rPr>
              <w:t>8.5</w:t>
            </w:r>
          </w:p>
        </w:tc>
      </w:tr>
      <w:tr w:rsidR="00E465D0" w:rsidRPr="00E465D0" w14:paraId="7B82CAC6"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39C35032" w14:textId="77777777" w:rsidR="00E465D0" w:rsidRPr="00E465D0" w:rsidRDefault="00E465D0" w:rsidP="00302827">
            <w:pPr>
              <w:jc w:val="center"/>
              <w:rPr>
                <w:sz w:val="20"/>
                <w:szCs w:val="20"/>
              </w:rPr>
            </w:pPr>
          </w:p>
        </w:tc>
        <w:tc>
          <w:tcPr>
            <w:tcW w:w="1260" w:type="dxa"/>
            <w:tcBorders>
              <w:right w:val="double" w:sz="4" w:space="0" w:color="auto"/>
            </w:tcBorders>
          </w:tcPr>
          <w:p w14:paraId="14E85FEA" w14:textId="77777777" w:rsidR="00E465D0" w:rsidRPr="00E465D0" w:rsidRDefault="00E465D0" w:rsidP="00302827">
            <w:pPr>
              <w:rPr>
                <w:sz w:val="18"/>
                <w:szCs w:val="18"/>
              </w:rPr>
            </w:pPr>
            <w:r w:rsidRPr="00E465D0">
              <w:rPr>
                <w:sz w:val="18"/>
                <w:szCs w:val="18"/>
              </w:rPr>
              <w:t>2-3 days/wk.</w:t>
            </w:r>
          </w:p>
        </w:tc>
        <w:tc>
          <w:tcPr>
            <w:tcW w:w="936" w:type="dxa"/>
            <w:tcBorders>
              <w:left w:val="double" w:sz="4" w:space="0" w:color="auto"/>
            </w:tcBorders>
            <w:shd w:val="clear" w:color="auto" w:fill="D9D9D9" w:themeFill="background1" w:themeFillShade="D9"/>
            <w:vAlign w:val="bottom"/>
          </w:tcPr>
          <w:p w14:paraId="31B44E01" w14:textId="77777777" w:rsidR="00E465D0" w:rsidRPr="005D4542" w:rsidRDefault="00E465D0" w:rsidP="00302827">
            <w:pPr>
              <w:jc w:val="right"/>
              <w:rPr>
                <w:sz w:val="22"/>
                <w:szCs w:val="22"/>
              </w:rPr>
            </w:pPr>
            <w:r w:rsidRPr="005D4542">
              <w:rPr>
                <w:sz w:val="22"/>
                <w:szCs w:val="22"/>
              </w:rPr>
              <w:t>3.65</w:t>
            </w:r>
          </w:p>
        </w:tc>
        <w:tc>
          <w:tcPr>
            <w:tcW w:w="937" w:type="dxa"/>
            <w:tcBorders>
              <w:right w:val="single" w:sz="12" w:space="0" w:color="auto"/>
            </w:tcBorders>
            <w:shd w:val="clear" w:color="auto" w:fill="D9D9D9" w:themeFill="background1" w:themeFillShade="D9"/>
            <w:vAlign w:val="bottom"/>
          </w:tcPr>
          <w:p w14:paraId="6D214677" w14:textId="77777777" w:rsidR="00E465D0" w:rsidRPr="005D4542" w:rsidRDefault="00E465D0" w:rsidP="00302827">
            <w:pPr>
              <w:jc w:val="right"/>
              <w:rPr>
                <w:sz w:val="22"/>
                <w:szCs w:val="22"/>
              </w:rPr>
            </w:pPr>
            <w:r w:rsidRPr="005D4542">
              <w:rPr>
                <w:sz w:val="22"/>
                <w:szCs w:val="22"/>
              </w:rPr>
              <w:t>-0.1</w:t>
            </w:r>
          </w:p>
        </w:tc>
        <w:tc>
          <w:tcPr>
            <w:tcW w:w="937" w:type="dxa"/>
            <w:tcBorders>
              <w:left w:val="single" w:sz="12" w:space="0" w:color="auto"/>
            </w:tcBorders>
            <w:vAlign w:val="bottom"/>
          </w:tcPr>
          <w:p w14:paraId="309935B9" w14:textId="77777777" w:rsidR="00E465D0" w:rsidRPr="005D4542" w:rsidRDefault="00E465D0" w:rsidP="00302827">
            <w:pPr>
              <w:jc w:val="right"/>
              <w:rPr>
                <w:sz w:val="22"/>
                <w:szCs w:val="22"/>
              </w:rPr>
            </w:pPr>
            <w:r w:rsidRPr="005D4542">
              <w:rPr>
                <w:sz w:val="22"/>
                <w:szCs w:val="22"/>
              </w:rPr>
              <w:t>5.57</w:t>
            </w:r>
          </w:p>
        </w:tc>
        <w:tc>
          <w:tcPr>
            <w:tcW w:w="936" w:type="dxa"/>
            <w:tcBorders>
              <w:right w:val="double" w:sz="4" w:space="0" w:color="auto"/>
            </w:tcBorders>
            <w:vAlign w:val="bottom"/>
          </w:tcPr>
          <w:p w14:paraId="00AEC2AB" w14:textId="77777777" w:rsidR="00E465D0" w:rsidRPr="005D4542" w:rsidRDefault="00E465D0" w:rsidP="00302827">
            <w:pPr>
              <w:jc w:val="right"/>
              <w:rPr>
                <w:sz w:val="22"/>
                <w:szCs w:val="22"/>
              </w:rPr>
            </w:pPr>
            <w:r w:rsidRPr="005D4542">
              <w:rPr>
                <w:sz w:val="22"/>
                <w:szCs w:val="22"/>
              </w:rPr>
              <w:t>2.9</w:t>
            </w:r>
          </w:p>
        </w:tc>
        <w:tc>
          <w:tcPr>
            <w:tcW w:w="937" w:type="dxa"/>
            <w:tcBorders>
              <w:left w:val="double" w:sz="4" w:space="0" w:color="auto"/>
              <w:right w:val="single" w:sz="4" w:space="0" w:color="auto"/>
            </w:tcBorders>
            <w:shd w:val="clear" w:color="auto" w:fill="D9D9D9" w:themeFill="background1" w:themeFillShade="D9"/>
            <w:vAlign w:val="bottom"/>
          </w:tcPr>
          <w:p w14:paraId="4B6EC009" w14:textId="77777777" w:rsidR="00E465D0" w:rsidRPr="005D4542" w:rsidRDefault="00E465D0" w:rsidP="00302827">
            <w:pPr>
              <w:jc w:val="right"/>
              <w:rPr>
                <w:sz w:val="22"/>
                <w:szCs w:val="22"/>
              </w:rPr>
            </w:pPr>
            <w:r w:rsidRPr="005D4542">
              <w:rPr>
                <w:sz w:val="22"/>
                <w:szCs w:val="22"/>
              </w:rPr>
              <w:t>4.08</w:t>
            </w:r>
          </w:p>
        </w:tc>
        <w:tc>
          <w:tcPr>
            <w:tcW w:w="937" w:type="dxa"/>
            <w:tcBorders>
              <w:left w:val="single" w:sz="4" w:space="0" w:color="auto"/>
              <w:right w:val="single" w:sz="12" w:space="0" w:color="auto"/>
            </w:tcBorders>
            <w:shd w:val="clear" w:color="auto" w:fill="D9D9D9" w:themeFill="background1" w:themeFillShade="D9"/>
            <w:vAlign w:val="bottom"/>
          </w:tcPr>
          <w:p w14:paraId="72C9EFA9" w14:textId="77777777" w:rsidR="00E465D0" w:rsidRPr="005D4542" w:rsidRDefault="00E465D0" w:rsidP="00302827">
            <w:pPr>
              <w:jc w:val="right"/>
              <w:rPr>
                <w:sz w:val="22"/>
                <w:szCs w:val="22"/>
              </w:rPr>
            </w:pPr>
            <w:r w:rsidRPr="005D4542">
              <w:rPr>
                <w:sz w:val="22"/>
                <w:szCs w:val="22"/>
              </w:rPr>
              <w:t>-0.1</w:t>
            </w:r>
          </w:p>
        </w:tc>
        <w:tc>
          <w:tcPr>
            <w:tcW w:w="936" w:type="dxa"/>
            <w:tcBorders>
              <w:left w:val="single" w:sz="12" w:space="0" w:color="auto"/>
              <w:right w:val="single" w:sz="4" w:space="0" w:color="auto"/>
            </w:tcBorders>
            <w:vAlign w:val="bottom"/>
          </w:tcPr>
          <w:p w14:paraId="47FC1C42" w14:textId="77777777" w:rsidR="00E465D0" w:rsidRPr="005D4542" w:rsidRDefault="00E465D0" w:rsidP="00302827">
            <w:pPr>
              <w:jc w:val="right"/>
              <w:rPr>
                <w:sz w:val="22"/>
                <w:szCs w:val="22"/>
              </w:rPr>
            </w:pPr>
            <w:r w:rsidRPr="005D4542">
              <w:rPr>
                <w:sz w:val="22"/>
                <w:szCs w:val="22"/>
              </w:rPr>
              <w:t>5.44</w:t>
            </w:r>
          </w:p>
        </w:tc>
        <w:tc>
          <w:tcPr>
            <w:tcW w:w="937" w:type="dxa"/>
            <w:tcBorders>
              <w:left w:val="single" w:sz="4" w:space="0" w:color="auto"/>
              <w:right w:val="double" w:sz="4" w:space="0" w:color="auto"/>
            </w:tcBorders>
            <w:vAlign w:val="bottom"/>
          </w:tcPr>
          <w:p w14:paraId="2DD4DF2D" w14:textId="77777777" w:rsidR="00E465D0" w:rsidRPr="005D4542" w:rsidRDefault="00E465D0" w:rsidP="00302827">
            <w:pPr>
              <w:jc w:val="right"/>
              <w:rPr>
                <w:sz w:val="22"/>
                <w:szCs w:val="22"/>
              </w:rPr>
            </w:pPr>
            <w:r w:rsidRPr="005D4542">
              <w:rPr>
                <w:sz w:val="22"/>
                <w:szCs w:val="22"/>
              </w:rPr>
              <w:t>2.9</w:t>
            </w:r>
          </w:p>
        </w:tc>
        <w:tc>
          <w:tcPr>
            <w:tcW w:w="937" w:type="dxa"/>
            <w:tcBorders>
              <w:left w:val="double" w:sz="4" w:space="0" w:color="auto"/>
            </w:tcBorders>
            <w:shd w:val="clear" w:color="auto" w:fill="D9D9D9" w:themeFill="background1" w:themeFillShade="D9"/>
            <w:vAlign w:val="bottom"/>
          </w:tcPr>
          <w:p w14:paraId="5A829AF6" w14:textId="77777777" w:rsidR="00E465D0" w:rsidRPr="005D4542" w:rsidRDefault="00E465D0" w:rsidP="00302827">
            <w:pPr>
              <w:jc w:val="right"/>
              <w:rPr>
                <w:sz w:val="22"/>
                <w:szCs w:val="22"/>
              </w:rPr>
            </w:pPr>
            <w:r w:rsidRPr="005D4542">
              <w:rPr>
                <w:sz w:val="22"/>
                <w:szCs w:val="22"/>
              </w:rPr>
              <w:t>3.65</w:t>
            </w:r>
          </w:p>
        </w:tc>
        <w:tc>
          <w:tcPr>
            <w:tcW w:w="936" w:type="dxa"/>
            <w:tcBorders>
              <w:right w:val="single" w:sz="12" w:space="0" w:color="auto"/>
            </w:tcBorders>
            <w:shd w:val="clear" w:color="auto" w:fill="D9D9D9" w:themeFill="background1" w:themeFillShade="D9"/>
            <w:vAlign w:val="bottom"/>
          </w:tcPr>
          <w:p w14:paraId="5F7FB27F" w14:textId="77777777" w:rsidR="00E465D0" w:rsidRPr="005D4542" w:rsidRDefault="00E465D0" w:rsidP="00302827">
            <w:pPr>
              <w:jc w:val="right"/>
              <w:rPr>
                <w:sz w:val="22"/>
                <w:szCs w:val="22"/>
              </w:rPr>
            </w:pPr>
            <w:r w:rsidRPr="005D4542">
              <w:rPr>
                <w:sz w:val="22"/>
                <w:szCs w:val="22"/>
              </w:rPr>
              <w:t>-0.2</w:t>
            </w:r>
          </w:p>
        </w:tc>
        <w:tc>
          <w:tcPr>
            <w:tcW w:w="937" w:type="dxa"/>
            <w:tcBorders>
              <w:left w:val="single" w:sz="12" w:space="0" w:color="auto"/>
              <w:right w:val="single" w:sz="4" w:space="0" w:color="auto"/>
            </w:tcBorders>
            <w:vAlign w:val="bottom"/>
          </w:tcPr>
          <w:p w14:paraId="40EF97E4" w14:textId="77777777" w:rsidR="00E465D0" w:rsidRPr="005D4542" w:rsidRDefault="00E465D0" w:rsidP="00302827">
            <w:pPr>
              <w:jc w:val="right"/>
              <w:rPr>
                <w:sz w:val="22"/>
                <w:szCs w:val="22"/>
              </w:rPr>
            </w:pPr>
            <w:r w:rsidRPr="005D4542">
              <w:rPr>
                <w:sz w:val="22"/>
                <w:szCs w:val="22"/>
              </w:rPr>
              <w:t>4.35</w:t>
            </w:r>
          </w:p>
        </w:tc>
        <w:tc>
          <w:tcPr>
            <w:tcW w:w="937" w:type="dxa"/>
            <w:tcBorders>
              <w:left w:val="single" w:sz="4" w:space="0" w:color="auto"/>
              <w:right w:val="double" w:sz="4" w:space="0" w:color="auto"/>
            </w:tcBorders>
            <w:vAlign w:val="bottom"/>
          </w:tcPr>
          <w:p w14:paraId="42A2D2EE" w14:textId="77777777" w:rsidR="00E465D0" w:rsidRPr="005D4542" w:rsidRDefault="00E465D0" w:rsidP="00302827">
            <w:pPr>
              <w:jc w:val="right"/>
              <w:rPr>
                <w:sz w:val="22"/>
                <w:szCs w:val="22"/>
              </w:rPr>
            </w:pPr>
            <w:r w:rsidRPr="005D4542">
              <w:rPr>
                <w:sz w:val="22"/>
                <w:szCs w:val="22"/>
              </w:rPr>
              <w:t>3.2</w:t>
            </w:r>
          </w:p>
        </w:tc>
      </w:tr>
      <w:tr w:rsidR="00E465D0" w:rsidRPr="00E465D0" w14:paraId="37CFAB2C"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63AA17B9" w14:textId="77777777" w:rsidR="00E465D0" w:rsidRPr="00E465D0" w:rsidRDefault="00E465D0" w:rsidP="00302827">
            <w:pPr>
              <w:jc w:val="center"/>
              <w:rPr>
                <w:sz w:val="20"/>
                <w:szCs w:val="20"/>
              </w:rPr>
            </w:pPr>
          </w:p>
        </w:tc>
        <w:tc>
          <w:tcPr>
            <w:tcW w:w="1260" w:type="dxa"/>
            <w:tcBorders>
              <w:bottom w:val="single" w:sz="4" w:space="0" w:color="auto"/>
              <w:right w:val="double" w:sz="4" w:space="0" w:color="auto"/>
            </w:tcBorders>
          </w:tcPr>
          <w:p w14:paraId="0F5CEF8C" w14:textId="77777777" w:rsidR="00E465D0" w:rsidRPr="00E465D0" w:rsidRDefault="00E465D0" w:rsidP="00302827">
            <w:pPr>
              <w:rPr>
                <w:sz w:val="18"/>
                <w:szCs w:val="18"/>
              </w:rPr>
            </w:pPr>
            <w:r w:rsidRPr="00E465D0">
              <w:rPr>
                <w:sz w:val="18"/>
                <w:szCs w:val="18"/>
              </w:rPr>
              <w:t>4 days/wk.</w:t>
            </w:r>
          </w:p>
        </w:tc>
        <w:tc>
          <w:tcPr>
            <w:tcW w:w="936" w:type="dxa"/>
            <w:tcBorders>
              <w:left w:val="double" w:sz="4" w:space="0" w:color="auto"/>
              <w:bottom w:val="single" w:sz="4" w:space="0" w:color="auto"/>
            </w:tcBorders>
            <w:shd w:val="clear" w:color="auto" w:fill="D9D9D9" w:themeFill="background1" w:themeFillShade="D9"/>
            <w:vAlign w:val="bottom"/>
          </w:tcPr>
          <w:p w14:paraId="7B5E9171" w14:textId="77777777" w:rsidR="00E465D0" w:rsidRPr="005D4542" w:rsidRDefault="00E465D0" w:rsidP="00302827">
            <w:pPr>
              <w:jc w:val="right"/>
              <w:rPr>
                <w:sz w:val="22"/>
                <w:szCs w:val="22"/>
              </w:rPr>
            </w:pPr>
            <w:r w:rsidRPr="005D4542">
              <w:rPr>
                <w:sz w:val="22"/>
                <w:szCs w:val="22"/>
              </w:rPr>
              <w:t>3.70</w:t>
            </w:r>
          </w:p>
        </w:tc>
        <w:tc>
          <w:tcPr>
            <w:tcW w:w="937" w:type="dxa"/>
            <w:tcBorders>
              <w:bottom w:val="single" w:sz="4" w:space="0" w:color="auto"/>
              <w:right w:val="single" w:sz="12" w:space="0" w:color="auto"/>
            </w:tcBorders>
            <w:shd w:val="clear" w:color="auto" w:fill="D9D9D9" w:themeFill="background1" w:themeFillShade="D9"/>
            <w:vAlign w:val="bottom"/>
          </w:tcPr>
          <w:p w14:paraId="75FE961B" w14:textId="77777777" w:rsidR="00E465D0" w:rsidRPr="005D4542" w:rsidRDefault="00E465D0" w:rsidP="00302827">
            <w:pPr>
              <w:jc w:val="right"/>
              <w:rPr>
                <w:sz w:val="22"/>
                <w:szCs w:val="22"/>
              </w:rPr>
            </w:pPr>
            <w:r w:rsidRPr="005D4542">
              <w:rPr>
                <w:sz w:val="22"/>
                <w:szCs w:val="22"/>
              </w:rPr>
              <w:t>1.2</w:t>
            </w:r>
          </w:p>
        </w:tc>
        <w:tc>
          <w:tcPr>
            <w:tcW w:w="937" w:type="dxa"/>
            <w:tcBorders>
              <w:left w:val="single" w:sz="12" w:space="0" w:color="auto"/>
              <w:bottom w:val="single" w:sz="4" w:space="0" w:color="auto"/>
            </w:tcBorders>
            <w:vAlign w:val="bottom"/>
          </w:tcPr>
          <w:p w14:paraId="42D185F7" w14:textId="77777777" w:rsidR="00E465D0" w:rsidRPr="005D4542" w:rsidRDefault="00E465D0" w:rsidP="00302827">
            <w:pPr>
              <w:jc w:val="right"/>
              <w:rPr>
                <w:sz w:val="22"/>
                <w:szCs w:val="22"/>
              </w:rPr>
            </w:pPr>
            <w:r w:rsidRPr="005D4542">
              <w:rPr>
                <w:sz w:val="22"/>
                <w:szCs w:val="22"/>
              </w:rPr>
              <w:t>5.81</w:t>
            </w:r>
          </w:p>
        </w:tc>
        <w:tc>
          <w:tcPr>
            <w:tcW w:w="936" w:type="dxa"/>
            <w:tcBorders>
              <w:bottom w:val="single" w:sz="4" w:space="0" w:color="auto"/>
              <w:right w:val="double" w:sz="4" w:space="0" w:color="auto"/>
            </w:tcBorders>
            <w:vAlign w:val="bottom"/>
          </w:tcPr>
          <w:p w14:paraId="7B0D2DD1" w14:textId="77777777" w:rsidR="00E465D0" w:rsidRPr="005D4542" w:rsidRDefault="00E465D0" w:rsidP="00302827">
            <w:pPr>
              <w:jc w:val="right"/>
              <w:rPr>
                <w:sz w:val="22"/>
                <w:szCs w:val="22"/>
              </w:rPr>
            </w:pPr>
            <w:r w:rsidRPr="005D4542">
              <w:rPr>
                <w:sz w:val="22"/>
                <w:szCs w:val="22"/>
              </w:rPr>
              <w:t>7.3</w:t>
            </w:r>
          </w:p>
        </w:tc>
        <w:tc>
          <w:tcPr>
            <w:tcW w:w="937" w:type="dxa"/>
            <w:tcBorders>
              <w:left w:val="double" w:sz="4" w:space="0" w:color="auto"/>
              <w:bottom w:val="single" w:sz="4" w:space="0" w:color="auto"/>
              <w:right w:val="single" w:sz="4" w:space="0" w:color="auto"/>
            </w:tcBorders>
            <w:shd w:val="clear" w:color="auto" w:fill="D9D9D9" w:themeFill="background1" w:themeFillShade="D9"/>
            <w:vAlign w:val="bottom"/>
          </w:tcPr>
          <w:p w14:paraId="43A3AA01" w14:textId="77777777" w:rsidR="00E465D0" w:rsidRPr="005D4542" w:rsidRDefault="00E465D0" w:rsidP="00302827">
            <w:pPr>
              <w:jc w:val="right"/>
              <w:rPr>
                <w:sz w:val="22"/>
                <w:szCs w:val="22"/>
              </w:rPr>
            </w:pPr>
            <w:r w:rsidRPr="005D4542">
              <w:rPr>
                <w:sz w:val="22"/>
                <w:szCs w:val="22"/>
              </w:rPr>
              <w:t>4.13</w:t>
            </w:r>
          </w:p>
        </w:tc>
        <w:tc>
          <w:tcPr>
            <w:tcW w:w="937" w:type="dxa"/>
            <w:tcBorders>
              <w:left w:val="single" w:sz="4" w:space="0" w:color="auto"/>
              <w:bottom w:val="single" w:sz="4" w:space="0" w:color="auto"/>
              <w:right w:val="single" w:sz="12" w:space="0" w:color="auto"/>
            </w:tcBorders>
            <w:shd w:val="clear" w:color="auto" w:fill="D9D9D9" w:themeFill="background1" w:themeFillShade="D9"/>
            <w:vAlign w:val="bottom"/>
          </w:tcPr>
          <w:p w14:paraId="78BDC499" w14:textId="77777777" w:rsidR="00E465D0" w:rsidRPr="005D4542" w:rsidRDefault="00E465D0" w:rsidP="00302827">
            <w:pPr>
              <w:jc w:val="right"/>
              <w:rPr>
                <w:sz w:val="22"/>
                <w:szCs w:val="22"/>
              </w:rPr>
            </w:pPr>
            <w:r w:rsidRPr="005D4542">
              <w:rPr>
                <w:sz w:val="22"/>
                <w:szCs w:val="22"/>
              </w:rPr>
              <w:t>1.2</w:t>
            </w:r>
          </w:p>
        </w:tc>
        <w:tc>
          <w:tcPr>
            <w:tcW w:w="936" w:type="dxa"/>
            <w:tcBorders>
              <w:left w:val="single" w:sz="12" w:space="0" w:color="auto"/>
              <w:bottom w:val="single" w:sz="4" w:space="0" w:color="auto"/>
              <w:right w:val="single" w:sz="4" w:space="0" w:color="auto"/>
            </w:tcBorders>
            <w:vAlign w:val="bottom"/>
          </w:tcPr>
          <w:p w14:paraId="232C126D" w14:textId="77777777" w:rsidR="00E465D0" w:rsidRPr="005D4542" w:rsidRDefault="00E465D0" w:rsidP="00302827">
            <w:pPr>
              <w:jc w:val="right"/>
              <w:rPr>
                <w:sz w:val="22"/>
                <w:szCs w:val="22"/>
              </w:rPr>
            </w:pPr>
            <w:r w:rsidRPr="005D4542">
              <w:rPr>
                <w:sz w:val="22"/>
                <w:szCs w:val="22"/>
              </w:rPr>
              <w:t>5.68</w:t>
            </w:r>
          </w:p>
        </w:tc>
        <w:tc>
          <w:tcPr>
            <w:tcW w:w="937" w:type="dxa"/>
            <w:tcBorders>
              <w:left w:val="single" w:sz="4" w:space="0" w:color="auto"/>
              <w:bottom w:val="single" w:sz="4" w:space="0" w:color="auto"/>
              <w:right w:val="double" w:sz="4" w:space="0" w:color="auto"/>
            </w:tcBorders>
            <w:vAlign w:val="bottom"/>
          </w:tcPr>
          <w:p w14:paraId="6CCBA85A" w14:textId="77777777" w:rsidR="00E465D0" w:rsidRPr="005D4542" w:rsidRDefault="00E465D0" w:rsidP="00302827">
            <w:pPr>
              <w:jc w:val="right"/>
              <w:rPr>
                <w:sz w:val="22"/>
                <w:szCs w:val="22"/>
              </w:rPr>
            </w:pPr>
            <w:r w:rsidRPr="005D4542">
              <w:rPr>
                <w:sz w:val="22"/>
                <w:szCs w:val="22"/>
              </w:rPr>
              <w:t>7.4</w:t>
            </w:r>
          </w:p>
        </w:tc>
        <w:tc>
          <w:tcPr>
            <w:tcW w:w="937" w:type="dxa"/>
            <w:tcBorders>
              <w:left w:val="double" w:sz="4" w:space="0" w:color="auto"/>
              <w:bottom w:val="single" w:sz="4" w:space="0" w:color="auto"/>
            </w:tcBorders>
            <w:shd w:val="clear" w:color="auto" w:fill="D9D9D9" w:themeFill="background1" w:themeFillShade="D9"/>
            <w:vAlign w:val="bottom"/>
          </w:tcPr>
          <w:p w14:paraId="5C066CD8" w14:textId="77777777" w:rsidR="00E465D0" w:rsidRPr="005D4542" w:rsidRDefault="00E465D0" w:rsidP="00302827">
            <w:pPr>
              <w:jc w:val="right"/>
              <w:rPr>
                <w:sz w:val="22"/>
                <w:szCs w:val="22"/>
              </w:rPr>
            </w:pPr>
            <w:r w:rsidRPr="005D4542">
              <w:rPr>
                <w:sz w:val="22"/>
                <w:szCs w:val="22"/>
              </w:rPr>
              <w:t>3.69</w:t>
            </w:r>
          </w:p>
        </w:tc>
        <w:tc>
          <w:tcPr>
            <w:tcW w:w="936" w:type="dxa"/>
            <w:tcBorders>
              <w:bottom w:val="single" w:sz="4" w:space="0" w:color="auto"/>
              <w:right w:val="single" w:sz="12" w:space="0" w:color="auto"/>
            </w:tcBorders>
            <w:shd w:val="clear" w:color="auto" w:fill="D9D9D9" w:themeFill="background1" w:themeFillShade="D9"/>
            <w:vAlign w:val="bottom"/>
          </w:tcPr>
          <w:p w14:paraId="7D8A86E3" w14:textId="77777777" w:rsidR="00E465D0" w:rsidRPr="005D4542" w:rsidRDefault="00E465D0" w:rsidP="00302827">
            <w:pPr>
              <w:jc w:val="right"/>
              <w:rPr>
                <w:sz w:val="22"/>
                <w:szCs w:val="22"/>
              </w:rPr>
            </w:pPr>
            <w:r w:rsidRPr="005D4542">
              <w:rPr>
                <w:sz w:val="22"/>
                <w:szCs w:val="22"/>
              </w:rPr>
              <w:t>1.1</w:t>
            </w:r>
          </w:p>
        </w:tc>
        <w:tc>
          <w:tcPr>
            <w:tcW w:w="937" w:type="dxa"/>
            <w:tcBorders>
              <w:left w:val="single" w:sz="12" w:space="0" w:color="auto"/>
              <w:bottom w:val="single" w:sz="4" w:space="0" w:color="auto"/>
              <w:right w:val="single" w:sz="4" w:space="0" w:color="auto"/>
            </w:tcBorders>
            <w:vAlign w:val="bottom"/>
          </w:tcPr>
          <w:p w14:paraId="4665AC4C" w14:textId="77777777" w:rsidR="00E465D0" w:rsidRPr="005D4542" w:rsidRDefault="00E465D0" w:rsidP="00302827">
            <w:pPr>
              <w:jc w:val="right"/>
              <w:rPr>
                <w:sz w:val="22"/>
                <w:szCs w:val="22"/>
              </w:rPr>
            </w:pPr>
            <w:r w:rsidRPr="005D4542">
              <w:rPr>
                <w:sz w:val="22"/>
                <w:szCs w:val="22"/>
              </w:rPr>
              <w:t>4.57</w:t>
            </w:r>
          </w:p>
        </w:tc>
        <w:tc>
          <w:tcPr>
            <w:tcW w:w="937" w:type="dxa"/>
            <w:tcBorders>
              <w:left w:val="single" w:sz="4" w:space="0" w:color="auto"/>
              <w:bottom w:val="single" w:sz="4" w:space="0" w:color="auto"/>
              <w:right w:val="double" w:sz="4" w:space="0" w:color="auto"/>
            </w:tcBorders>
            <w:vAlign w:val="bottom"/>
          </w:tcPr>
          <w:p w14:paraId="458FC6EF" w14:textId="77777777" w:rsidR="00E465D0" w:rsidRPr="005D4542" w:rsidRDefault="00E465D0" w:rsidP="00302827">
            <w:pPr>
              <w:jc w:val="right"/>
              <w:rPr>
                <w:sz w:val="22"/>
                <w:szCs w:val="22"/>
              </w:rPr>
            </w:pPr>
            <w:r w:rsidRPr="005D4542">
              <w:rPr>
                <w:sz w:val="22"/>
                <w:szCs w:val="22"/>
              </w:rPr>
              <w:t>8.3</w:t>
            </w:r>
          </w:p>
        </w:tc>
      </w:tr>
      <w:tr w:rsidR="00E465D0" w:rsidRPr="00E465D0" w14:paraId="41B770D5" w14:textId="77777777" w:rsidTr="00302827">
        <w:trPr>
          <w:trHeight w:val="288"/>
        </w:trPr>
        <w:tc>
          <w:tcPr>
            <w:tcW w:w="985" w:type="dxa"/>
            <w:vMerge/>
            <w:tcBorders>
              <w:top w:val="double" w:sz="4" w:space="0" w:color="auto"/>
              <w:left w:val="double" w:sz="4" w:space="0" w:color="auto"/>
              <w:bottom w:val="double" w:sz="4" w:space="0" w:color="auto"/>
            </w:tcBorders>
            <w:vAlign w:val="center"/>
          </w:tcPr>
          <w:p w14:paraId="34E6837D" w14:textId="77777777" w:rsidR="00E465D0" w:rsidRPr="00E465D0" w:rsidRDefault="00E465D0" w:rsidP="00302827">
            <w:pPr>
              <w:jc w:val="center"/>
              <w:rPr>
                <w:sz w:val="20"/>
                <w:szCs w:val="20"/>
              </w:rPr>
            </w:pPr>
          </w:p>
        </w:tc>
        <w:tc>
          <w:tcPr>
            <w:tcW w:w="1260" w:type="dxa"/>
            <w:tcBorders>
              <w:bottom w:val="double" w:sz="4" w:space="0" w:color="auto"/>
              <w:right w:val="double" w:sz="4" w:space="0" w:color="auto"/>
            </w:tcBorders>
          </w:tcPr>
          <w:p w14:paraId="0A4F1759" w14:textId="77777777" w:rsidR="00E465D0" w:rsidRPr="00E465D0" w:rsidRDefault="00E465D0" w:rsidP="00302827">
            <w:pPr>
              <w:rPr>
                <w:sz w:val="18"/>
                <w:szCs w:val="18"/>
              </w:rPr>
            </w:pPr>
            <w:r w:rsidRPr="00E465D0">
              <w:rPr>
                <w:sz w:val="18"/>
                <w:szCs w:val="18"/>
              </w:rPr>
              <w:t>≥ 5 days/wk.</w:t>
            </w:r>
          </w:p>
        </w:tc>
        <w:tc>
          <w:tcPr>
            <w:tcW w:w="936" w:type="dxa"/>
            <w:tcBorders>
              <w:left w:val="double" w:sz="4" w:space="0" w:color="auto"/>
              <w:bottom w:val="double" w:sz="4" w:space="0" w:color="auto"/>
            </w:tcBorders>
            <w:shd w:val="clear" w:color="auto" w:fill="D9D9D9" w:themeFill="background1" w:themeFillShade="D9"/>
            <w:vAlign w:val="bottom"/>
          </w:tcPr>
          <w:p w14:paraId="173F6902" w14:textId="77777777" w:rsidR="00E465D0" w:rsidRPr="005D4542" w:rsidRDefault="00E465D0" w:rsidP="00302827">
            <w:pPr>
              <w:jc w:val="right"/>
              <w:rPr>
                <w:sz w:val="22"/>
                <w:szCs w:val="22"/>
              </w:rPr>
            </w:pPr>
            <w:r w:rsidRPr="005D4542">
              <w:rPr>
                <w:sz w:val="22"/>
                <w:szCs w:val="22"/>
              </w:rPr>
              <w:t>3.63</w:t>
            </w:r>
          </w:p>
        </w:tc>
        <w:tc>
          <w:tcPr>
            <w:tcW w:w="937" w:type="dxa"/>
            <w:tcBorders>
              <w:bottom w:val="double" w:sz="4" w:space="0" w:color="auto"/>
              <w:right w:val="single" w:sz="12" w:space="0" w:color="auto"/>
            </w:tcBorders>
            <w:shd w:val="clear" w:color="auto" w:fill="D9D9D9" w:themeFill="background1" w:themeFillShade="D9"/>
            <w:vAlign w:val="bottom"/>
          </w:tcPr>
          <w:p w14:paraId="76AC23A0" w14:textId="77777777" w:rsidR="00E465D0" w:rsidRPr="005D4542" w:rsidRDefault="00E465D0" w:rsidP="00302827">
            <w:pPr>
              <w:jc w:val="right"/>
              <w:rPr>
                <w:sz w:val="22"/>
                <w:szCs w:val="22"/>
              </w:rPr>
            </w:pPr>
            <w:r w:rsidRPr="005D4542">
              <w:rPr>
                <w:sz w:val="22"/>
                <w:szCs w:val="22"/>
              </w:rPr>
              <w:t>-0.6</w:t>
            </w:r>
          </w:p>
        </w:tc>
        <w:tc>
          <w:tcPr>
            <w:tcW w:w="937" w:type="dxa"/>
            <w:tcBorders>
              <w:left w:val="single" w:sz="12" w:space="0" w:color="auto"/>
              <w:bottom w:val="double" w:sz="4" w:space="0" w:color="auto"/>
            </w:tcBorders>
            <w:vAlign w:val="bottom"/>
          </w:tcPr>
          <w:p w14:paraId="44DFB047" w14:textId="77777777" w:rsidR="00E465D0" w:rsidRPr="005D4542" w:rsidRDefault="00E465D0" w:rsidP="00302827">
            <w:pPr>
              <w:jc w:val="right"/>
              <w:rPr>
                <w:sz w:val="22"/>
                <w:szCs w:val="22"/>
              </w:rPr>
            </w:pPr>
            <w:r w:rsidRPr="005D4542">
              <w:rPr>
                <w:sz w:val="22"/>
                <w:szCs w:val="22"/>
              </w:rPr>
              <w:t>5.61</w:t>
            </w:r>
          </w:p>
        </w:tc>
        <w:tc>
          <w:tcPr>
            <w:tcW w:w="936" w:type="dxa"/>
            <w:tcBorders>
              <w:bottom w:val="double" w:sz="4" w:space="0" w:color="auto"/>
              <w:right w:val="double" w:sz="4" w:space="0" w:color="auto"/>
            </w:tcBorders>
            <w:vAlign w:val="bottom"/>
          </w:tcPr>
          <w:p w14:paraId="547A7712" w14:textId="77777777" w:rsidR="00E465D0" w:rsidRPr="005D4542" w:rsidRDefault="00E465D0" w:rsidP="00302827">
            <w:pPr>
              <w:jc w:val="right"/>
              <w:rPr>
                <w:sz w:val="22"/>
                <w:szCs w:val="22"/>
              </w:rPr>
            </w:pPr>
            <w:r w:rsidRPr="005D4542">
              <w:rPr>
                <w:sz w:val="22"/>
                <w:szCs w:val="22"/>
              </w:rPr>
              <w:t>3.6</w:t>
            </w:r>
          </w:p>
        </w:tc>
        <w:tc>
          <w:tcPr>
            <w:tcW w:w="937" w:type="dxa"/>
            <w:tcBorders>
              <w:left w:val="double" w:sz="4" w:space="0" w:color="auto"/>
              <w:bottom w:val="double" w:sz="4" w:space="0" w:color="auto"/>
              <w:right w:val="single" w:sz="4" w:space="0" w:color="auto"/>
            </w:tcBorders>
            <w:shd w:val="clear" w:color="auto" w:fill="D9D9D9" w:themeFill="background1" w:themeFillShade="D9"/>
            <w:vAlign w:val="bottom"/>
          </w:tcPr>
          <w:p w14:paraId="7936E13A" w14:textId="77777777" w:rsidR="00E465D0" w:rsidRPr="005D4542" w:rsidRDefault="00E465D0" w:rsidP="00302827">
            <w:pPr>
              <w:jc w:val="right"/>
              <w:rPr>
                <w:sz w:val="22"/>
                <w:szCs w:val="22"/>
              </w:rPr>
            </w:pPr>
            <w:r w:rsidRPr="005D4542">
              <w:rPr>
                <w:sz w:val="22"/>
                <w:szCs w:val="22"/>
              </w:rPr>
              <w:t>4.06</w:t>
            </w:r>
          </w:p>
        </w:tc>
        <w:tc>
          <w:tcPr>
            <w:tcW w:w="937" w:type="dxa"/>
            <w:tcBorders>
              <w:left w:val="single" w:sz="4" w:space="0" w:color="auto"/>
              <w:bottom w:val="double" w:sz="4" w:space="0" w:color="auto"/>
              <w:right w:val="single" w:sz="12" w:space="0" w:color="auto"/>
            </w:tcBorders>
            <w:shd w:val="clear" w:color="auto" w:fill="D9D9D9" w:themeFill="background1" w:themeFillShade="D9"/>
            <w:vAlign w:val="bottom"/>
          </w:tcPr>
          <w:p w14:paraId="496B594B" w14:textId="77777777" w:rsidR="00E465D0" w:rsidRPr="005D4542" w:rsidRDefault="00E465D0" w:rsidP="00302827">
            <w:pPr>
              <w:jc w:val="right"/>
              <w:rPr>
                <w:sz w:val="22"/>
                <w:szCs w:val="22"/>
              </w:rPr>
            </w:pPr>
            <w:r w:rsidRPr="005D4542">
              <w:rPr>
                <w:sz w:val="22"/>
                <w:szCs w:val="22"/>
              </w:rPr>
              <w:t>-0.5</w:t>
            </w:r>
          </w:p>
        </w:tc>
        <w:tc>
          <w:tcPr>
            <w:tcW w:w="936" w:type="dxa"/>
            <w:tcBorders>
              <w:left w:val="single" w:sz="12" w:space="0" w:color="auto"/>
              <w:bottom w:val="double" w:sz="4" w:space="0" w:color="auto"/>
              <w:right w:val="single" w:sz="4" w:space="0" w:color="auto"/>
            </w:tcBorders>
            <w:vAlign w:val="bottom"/>
          </w:tcPr>
          <w:p w14:paraId="364D6963" w14:textId="77777777" w:rsidR="00E465D0" w:rsidRPr="005D4542" w:rsidRDefault="00E465D0" w:rsidP="00302827">
            <w:pPr>
              <w:jc w:val="right"/>
              <w:rPr>
                <w:sz w:val="22"/>
                <w:szCs w:val="22"/>
              </w:rPr>
            </w:pPr>
            <w:r w:rsidRPr="005D4542">
              <w:rPr>
                <w:sz w:val="22"/>
                <w:szCs w:val="22"/>
              </w:rPr>
              <w:t>5.48</w:t>
            </w:r>
          </w:p>
        </w:tc>
        <w:tc>
          <w:tcPr>
            <w:tcW w:w="937" w:type="dxa"/>
            <w:tcBorders>
              <w:left w:val="single" w:sz="4" w:space="0" w:color="auto"/>
              <w:bottom w:val="double" w:sz="4" w:space="0" w:color="auto"/>
              <w:right w:val="double" w:sz="4" w:space="0" w:color="auto"/>
            </w:tcBorders>
            <w:vAlign w:val="bottom"/>
          </w:tcPr>
          <w:p w14:paraId="52D0DE52" w14:textId="77777777" w:rsidR="00E465D0" w:rsidRPr="005D4542" w:rsidRDefault="00E465D0" w:rsidP="00302827">
            <w:pPr>
              <w:jc w:val="right"/>
              <w:rPr>
                <w:sz w:val="22"/>
                <w:szCs w:val="22"/>
              </w:rPr>
            </w:pPr>
            <w:r w:rsidRPr="005D4542">
              <w:rPr>
                <w:sz w:val="22"/>
                <w:szCs w:val="22"/>
              </w:rPr>
              <w:t>3.6</w:t>
            </w:r>
          </w:p>
        </w:tc>
        <w:tc>
          <w:tcPr>
            <w:tcW w:w="937" w:type="dxa"/>
            <w:tcBorders>
              <w:left w:val="double" w:sz="4" w:space="0" w:color="auto"/>
              <w:bottom w:val="double" w:sz="4" w:space="0" w:color="auto"/>
            </w:tcBorders>
            <w:shd w:val="clear" w:color="auto" w:fill="D9D9D9" w:themeFill="background1" w:themeFillShade="D9"/>
            <w:vAlign w:val="bottom"/>
          </w:tcPr>
          <w:p w14:paraId="31EDC416" w14:textId="77777777" w:rsidR="00E465D0" w:rsidRPr="005D4542" w:rsidRDefault="00E465D0" w:rsidP="00302827">
            <w:pPr>
              <w:jc w:val="right"/>
              <w:rPr>
                <w:sz w:val="22"/>
                <w:szCs w:val="22"/>
              </w:rPr>
            </w:pPr>
            <w:r w:rsidRPr="005D4542">
              <w:rPr>
                <w:sz w:val="22"/>
                <w:szCs w:val="22"/>
              </w:rPr>
              <w:t>3.63</w:t>
            </w:r>
          </w:p>
        </w:tc>
        <w:tc>
          <w:tcPr>
            <w:tcW w:w="936" w:type="dxa"/>
            <w:tcBorders>
              <w:bottom w:val="double" w:sz="4" w:space="0" w:color="auto"/>
              <w:right w:val="single" w:sz="12" w:space="0" w:color="auto"/>
            </w:tcBorders>
            <w:shd w:val="clear" w:color="auto" w:fill="D9D9D9" w:themeFill="background1" w:themeFillShade="D9"/>
            <w:vAlign w:val="bottom"/>
          </w:tcPr>
          <w:p w14:paraId="098840BC" w14:textId="77777777" w:rsidR="00E465D0" w:rsidRPr="005D4542" w:rsidRDefault="00E465D0" w:rsidP="00302827">
            <w:pPr>
              <w:jc w:val="right"/>
              <w:rPr>
                <w:sz w:val="22"/>
                <w:szCs w:val="22"/>
              </w:rPr>
            </w:pPr>
            <w:r w:rsidRPr="005D4542">
              <w:rPr>
                <w:sz w:val="22"/>
                <w:szCs w:val="22"/>
              </w:rPr>
              <w:t>-0.7</w:t>
            </w:r>
          </w:p>
        </w:tc>
        <w:tc>
          <w:tcPr>
            <w:tcW w:w="937" w:type="dxa"/>
            <w:tcBorders>
              <w:left w:val="single" w:sz="12" w:space="0" w:color="auto"/>
              <w:bottom w:val="double" w:sz="4" w:space="0" w:color="auto"/>
              <w:right w:val="single" w:sz="4" w:space="0" w:color="auto"/>
            </w:tcBorders>
            <w:vAlign w:val="bottom"/>
          </w:tcPr>
          <w:p w14:paraId="4B281D60" w14:textId="77777777" w:rsidR="00E465D0" w:rsidRPr="005D4542" w:rsidRDefault="00E465D0" w:rsidP="00302827">
            <w:pPr>
              <w:jc w:val="right"/>
              <w:rPr>
                <w:sz w:val="22"/>
                <w:szCs w:val="22"/>
              </w:rPr>
            </w:pPr>
            <w:r w:rsidRPr="005D4542">
              <w:rPr>
                <w:sz w:val="22"/>
                <w:szCs w:val="22"/>
              </w:rPr>
              <w:t>4.37</w:t>
            </w:r>
          </w:p>
        </w:tc>
        <w:tc>
          <w:tcPr>
            <w:tcW w:w="937" w:type="dxa"/>
            <w:tcBorders>
              <w:left w:val="single" w:sz="4" w:space="0" w:color="auto"/>
              <w:bottom w:val="double" w:sz="4" w:space="0" w:color="auto"/>
              <w:right w:val="double" w:sz="4" w:space="0" w:color="auto"/>
            </w:tcBorders>
            <w:vAlign w:val="bottom"/>
          </w:tcPr>
          <w:p w14:paraId="5CFBC4BD" w14:textId="77777777" w:rsidR="00E465D0" w:rsidRPr="005D4542" w:rsidRDefault="00E465D0" w:rsidP="00302827">
            <w:pPr>
              <w:jc w:val="right"/>
              <w:rPr>
                <w:sz w:val="22"/>
                <w:szCs w:val="22"/>
              </w:rPr>
            </w:pPr>
            <w:r w:rsidRPr="005D4542">
              <w:rPr>
                <w:sz w:val="22"/>
                <w:szCs w:val="22"/>
              </w:rPr>
              <w:t>3.6</w:t>
            </w:r>
          </w:p>
        </w:tc>
      </w:tr>
    </w:tbl>
    <w:p w14:paraId="357083FB" w14:textId="53E997DC" w:rsidR="00E465D0" w:rsidRPr="00E465D0" w:rsidRDefault="00E465D0" w:rsidP="00E465D0">
      <w:pPr>
        <w:spacing w:after="0"/>
        <w:rPr>
          <w:b/>
          <w:bCs/>
        </w:rPr>
      </w:pPr>
      <w:r w:rsidRPr="00E465D0">
        <w:rPr>
          <w:b/>
          <w:bCs/>
        </w:rPr>
        <w:t>Table 8</w:t>
      </w:r>
      <w:r w:rsidR="005D4542">
        <w:rPr>
          <w:b/>
          <w:bCs/>
        </w:rPr>
        <w:t>.</w:t>
      </w:r>
      <w:r w:rsidRPr="00E465D0">
        <w:rPr>
          <w:b/>
          <w:bCs/>
        </w:rPr>
        <w:t xml:space="preserve"> Effect of Telework Arrangement on Nonwork Stop-Making</w:t>
      </w:r>
    </w:p>
    <w:p w14:paraId="3883FD8A" w14:textId="77777777" w:rsidR="00E465D0" w:rsidRPr="00E465D0" w:rsidRDefault="00E465D0" w:rsidP="00E465D0">
      <w:r w:rsidRPr="00E465D0">
        <w:br w:type="page"/>
      </w:r>
    </w:p>
    <w:p w14:paraId="3AA26A4E" w14:textId="2DCD59F2" w:rsidR="00E465D0" w:rsidRPr="00E465D0" w:rsidRDefault="00E465D0" w:rsidP="00E465D0">
      <w:pPr>
        <w:sectPr w:rsidR="00E465D0" w:rsidRPr="00E465D0" w:rsidSect="002F4986">
          <w:pgSz w:w="15840" w:h="12240" w:orient="landscape"/>
          <w:pgMar w:top="1440" w:right="1440" w:bottom="1440" w:left="1440" w:header="720" w:footer="720" w:gutter="0"/>
          <w:cols w:space="720"/>
          <w:docGrid w:linePitch="360"/>
        </w:sectPr>
      </w:pPr>
    </w:p>
    <w:p w14:paraId="03D4FDA5" w14:textId="48024326" w:rsidR="00E465D0" w:rsidRPr="00E465D0" w:rsidRDefault="00E465D0" w:rsidP="00E465D0">
      <w:pPr>
        <w:spacing w:after="0"/>
        <w:rPr>
          <w:b/>
          <w:bCs/>
        </w:rPr>
      </w:pPr>
      <w:r w:rsidRPr="00E465D0">
        <w:rPr>
          <w:b/>
          <w:bCs/>
        </w:rPr>
        <w:lastRenderedPageBreak/>
        <w:t>Table 8</w:t>
      </w:r>
      <w:r w:rsidR="005D4542">
        <w:rPr>
          <w:b/>
          <w:bCs/>
        </w:rPr>
        <w:t>.</w:t>
      </w:r>
      <w:r w:rsidRPr="00E465D0">
        <w:rPr>
          <w:b/>
          <w:bCs/>
        </w:rPr>
        <w:t xml:space="preserve"> (CONTD): Effect of Telework Arrangement on Nonwork Stop-Making </w:t>
      </w:r>
    </w:p>
    <w:tbl>
      <w:tblPr>
        <w:tblStyle w:val="TableGrid"/>
        <w:tblpPr w:leftFromText="180" w:rightFromText="180" w:horzAnchor="margin" w:tblpY="360"/>
        <w:tblW w:w="13485" w:type="dxa"/>
        <w:tblLayout w:type="fixed"/>
        <w:tblLook w:val="04A0" w:firstRow="1" w:lastRow="0" w:firstColumn="1" w:lastColumn="0" w:noHBand="0" w:noVBand="1"/>
      </w:tblPr>
      <w:tblGrid>
        <w:gridCol w:w="985"/>
        <w:gridCol w:w="1260"/>
        <w:gridCol w:w="936"/>
        <w:gridCol w:w="469"/>
        <w:gridCol w:w="468"/>
        <w:gridCol w:w="937"/>
        <w:gridCol w:w="936"/>
        <w:gridCol w:w="469"/>
        <w:gridCol w:w="468"/>
        <w:gridCol w:w="937"/>
        <w:gridCol w:w="936"/>
        <w:gridCol w:w="469"/>
        <w:gridCol w:w="468"/>
        <w:gridCol w:w="937"/>
        <w:gridCol w:w="936"/>
        <w:gridCol w:w="469"/>
        <w:gridCol w:w="468"/>
        <w:gridCol w:w="937"/>
      </w:tblGrid>
      <w:tr w:rsidR="007D67AC" w:rsidRPr="00E465D0" w14:paraId="001BD926" w14:textId="77777777" w:rsidTr="001F114A">
        <w:trPr>
          <w:trHeight w:val="288"/>
        </w:trPr>
        <w:tc>
          <w:tcPr>
            <w:tcW w:w="2245" w:type="dxa"/>
            <w:gridSpan w:val="2"/>
            <w:tcBorders>
              <w:top w:val="double" w:sz="4" w:space="0" w:color="auto"/>
              <w:left w:val="double" w:sz="4" w:space="0" w:color="auto"/>
              <w:bottom w:val="double" w:sz="4" w:space="0" w:color="auto"/>
              <w:right w:val="double" w:sz="4" w:space="0" w:color="auto"/>
            </w:tcBorders>
          </w:tcPr>
          <w:p w14:paraId="1D13451C" w14:textId="77777777" w:rsidR="007D67AC" w:rsidRPr="00E465D0" w:rsidRDefault="007D67AC" w:rsidP="00302827">
            <w:pPr>
              <w:rPr>
                <w:sz w:val="18"/>
                <w:szCs w:val="18"/>
              </w:rPr>
            </w:pPr>
            <w:r w:rsidRPr="00E465D0">
              <w:rPr>
                <w:sz w:val="18"/>
                <w:szCs w:val="18"/>
              </w:rPr>
              <w:t>Variable Category</w:t>
            </w:r>
          </w:p>
        </w:tc>
        <w:tc>
          <w:tcPr>
            <w:tcW w:w="5620" w:type="dxa"/>
            <w:gridSpan w:val="8"/>
            <w:vMerge w:val="restart"/>
            <w:tcBorders>
              <w:top w:val="double" w:sz="4" w:space="0" w:color="auto"/>
              <w:left w:val="double" w:sz="4" w:space="0" w:color="auto"/>
              <w:right w:val="double" w:sz="4" w:space="0" w:color="auto"/>
            </w:tcBorders>
            <w:vAlign w:val="center"/>
          </w:tcPr>
          <w:p w14:paraId="4AE6EF08" w14:textId="2076AE20" w:rsidR="007D67AC" w:rsidRPr="00E465D0" w:rsidRDefault="007D67AC" w:rsidP="004A51D9">
            <w:pPr>
              <w:jc w:val="center"/>
              <w:rPr>
                <w:sz w:val="18"/>
                <w:szCs w:val="18"/>
              </w:rPr>
            </w:pPr>
            <w:r w:rsidRPr="00E465D0">
              <w:rPr>
                <w:sz w:val="20"/>
                <w:szCs w:val="20"/>
              </w:rPr>
              <w:t>Black</w:t>
            </w:r>
          </w:p>
        </w:tc>
        <w:tc>
          <w:tcPr>
            <w:tcW w:w="5620" w:type="dxa"/>
            <w:gridSpan w:val="8"/>
            <w:vMerge w:val="restart"/>
            <w:tcBorders>
              <w:top w:val="double" w:sz="4" w:space="0" w:color="auto"/>
              <w:left w:val="double" w:sz="4" w:space="0" w:color="auto"/>
              <w:right w:val="double" w:sz="4" w:space="0" w:color="auto"/>
            </w:tcBorders>
            <w:vAlign w:val="center"/>
          </w:tcPr>
          <w:p w14:paraId="074F166C" w14:textId="0B34BB13" w:rsidR="007D67AC" w:rsidRPr="00E465D0" w:rsidRDefault="007D67AC" w:rsidP="001F114A">
            <w:pPr>
              <w:jc w:val="center"/>
              <w:rPr>
                <w:sz w:val="18"/>
                <w:szCs w:val="18"/>
              </w:rPr>
            </w:pPr>
            <w:r w:rsidRPr="00E465D0">
              <w:rPr>
                <w:sz w:val="20"/>
                <w:szCs w:val="20"/>
              </w:rPr>
              <w:t>Not Black</w:t>
            </w:r>
          </w:p>
        </w:tc>
      </w:tr>
      <w:tr w:rsidR="007D67AC" w:rsidRPr="00E465D0" w14:paraId="065BAAF5" w14:textId="77777777" w:rsidTr="001F114A">
        <w:trPr>
          <w:trHeight w:val="288"/>
        </w:trPr>
        <w:tc>
          <w:tcPr>
            <w:tcW w:w="985" w:type="dxa"/>
            <w:vMerge w:val="restart"/>
            <w:tcBorders>
              <w:top w:val="double" w:sz="4" w:space="0" w:color="auto"/>
              <w:left w:val="double" w:sz="4" w:space="0" w:color="auto"/>
              <w:bottom w:val="single" w:sz="4" w:space="0" w:color="auto"/>
            </w:tcBorders>
            <w:vAlign w:val="center"/>
          </w:tcPr>
          <w:p w14:paraId="476624DA" w14:textId="77777777" w:rsidR="007D67AC" w:rsidRPr="00E465D0" w:rsidRDefault="007D67AC" w:rsidP="00302827">
            <w:pPr>
              <w:jc w:val="center"/>
              <w:rPr>
                <w:sz w:val="18"/>
                <w:szCs w:val="18"/>
              </w:rPr>
            </w:pPr>
            <w:r w:rsidRPr="00E465D0">
              <w:rPr>
                <w:sz w:val="20"/>
                <w:szCs w:val="20"/>
              </w:rPr>
              <w:t>Race</w:t>
            </w:r>
          </w:p>
        </w:tc>
        <w:tc>
          <w:tcPr>
            <w:tcW w:w="1260" w:type="dxa"/>
            <w:tcBorders>
              <w:top w:val="double" w:sz="4" w:space="0" w:color="auto"/>
              <w:right w:val="double" w:sz="4" w:space="0" w:color="auto"/>
            </w:tcBorders>
            <w:vAlign w:val="center"/>
          </w:tcPr>
          <w:p w14:paraId="34A092D1" w14:textId="77777777" w:rsidR="007D67AC" w:rsidRPr="00E465D0" w:rsidRDefault="007D67AC" w:rsidP="00302827">
            <w:pPr>
              <w:rPr>
                <w:sz w:val="18"/>
                <w:szCs w:val="18"/>
              </w:rPr>
            </w:pPr>
            <w:r w:rsidRPr="00E465D0">
              <w:rPr>
                <w:sz w:val="18"/>
                <w:szCs w:val="18"/>
              </w:rPr>
              <w:t>Categories</w:t>
            </w:r>
          </w:p>
        </w:tc>
        <w:tc>
          <w:tcPr>
            <w:tcW w:w="5620" w:type="dxa"/>
            <w:gridSpan w:val="8"/>
            <w:vMerge/>
            <w:tcBorders>
              <w:left w:val="double" w:sz="4" w:space="0" w:color="auto"/>
              <w:right w:val="double" w:sz="4" w:space="0" w:color="auto"/>
            </w:tcBorders>
            <w:vAlign w:val="center"/>
          </w:tcPr>
          <w:p w14:paraId="0F2D3911" w14:textId="37497005" w:rsidR="007D67AC" w:rsidRPr="00E465D0" w:rsidRDefault="007D67AC" w:rsidP="00302827">
            <w:pPr>
              <w:jc w:val="center"/>
              <w:rPr>
                <w:sz w:val="20"/>
                <w:szCs w:val="20"/>
              </w:rPr>
            </w:pPr>
          </w:p>
        </w:tc>
        <w:tc>
          <w:tcPr>
            <w:tcW w:w="5620" w:type="dxa"/>
            <w:gridSpan w:val="8"/>
            <w:vMerge/>
            <w:tcBorders>
              <w:left w:val="double" w:sz="4" w:space="0" w:color="auto"/>
              <w:right w:val="double" w:sz="4" w:space="0" w:color="auto"/>
            </w:tcBorders>
            <w:vAlign w:val="center"/>
          </w:tcPr>
          <w:p w14:paraId="54F2EC2F" w14:textId="644D7956" w:rsidR="007D67AC" w:rsidRPr="00E465D0" w:rsidRDefault="007D67AC" w:rsidP="00302827">
            <w:pPr>
              <w:jc w:val="center"/>
              <w:rPr>
                <w:sz w:val="20"/>
                <w:szCs w:val="20"/>
              </w:rPr>
            </w:pPr>
          </w:p>
        </w:tc>
      </w:tr>
      <w:tr w:rsidR="00E465D0" w:rsidRPr="00E465D0" w14:paraId="5F511A4C"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5BA315B" w14:textId="77777777" w:rsidR="00E465D0" w:rsidRPr="00E465D0" w:rsidRDefault="00E465D0" w:rsidP="00302827">
            <w:pPr>
              <w:jc w:val="center"/>
              <w:rPr>
                <w:sz w:val="18"/>
                <w:szCs w:val="18"/>
              </w:rPr>
            </w:pPr>
          </w:p>
        </w:tc>
        <w:tc>
          <w:tcPr>
            <w:tcW w:w="1260" w:type="dxa"/>
            <w:vMerge w:val="restart"/>
            <w:tcBorders>
              <w:right w:val="double" w:sz="4" w:space="0" w:color="auto"/>
            </w:tcBorders>
          </w:tcPr>
          <w:p w14:paraId="530413F3" w14:textId="77777777" w:rsidR="00E465D0" w:rsidRPr="00E465D0" w:rsidRDefault="00E465D0" w:rsidP="00302827">
            <w:pPr>
              <w:rPr>
                <w:sz w:val="18"/>
                <w:szCs w:val="18"/>
              </w:rPr>
            </w:pPr>
            <w:r w:rsidRPr="00E465D0">
              <w:rPr>
                <w:sz w:val="18"/>
                <w:szCs w:val="18"/>
              </w:rPr>
              <w:t>Nonwork Purpose</w:t>
            </w:r>
          </w:p>
        </w:tc>
        <w:tc>
          <w:tcPr>
            <w:tcW w:w="2810" w:type="dxa"/>
            <w:gridSpan w:val="4"/>
            <w:tcBorders>
              <w:left w:val="double" w:sz="4" w:space="0" w:color="auto"/>
              <w:right w:val="single" w:sz="12" w:space="0" w:color="auto"/>
            </w:tcBorders>
            <w:shd w:val="clear" w:color="auto" w:fill="D9D9D9" w:themeFill="background1" w:themeFillShade="D9"/>
            <w:vAlign w:val="bottom"/>
          </w:tcPr>
          <w:p w14:paraId="5E7E2B57" w14:textId="77777777" w:rsidR="00E465D0" w:rsidRPr="00E465D0" w:rsidRDefault="00E465D0" w:rsidP="00302827">
            <w:pPr>
              <w:jc w:val="center"/>
              <w:rPr>
                <w:sz w:val="18"/>
                <w:szCs w:val="18"/>
              </w:rPr>
            </w:pPr>
            <w:r w:rsidRPr="00E465D0">
              <w:rPr>
                <w:sz w:val="18"/>
                <w:szCs w:val="18"/>
              </w:rPr>
              <w:t>Maintenance Stops</w:t>
            </w:r>
          </w:p>
        </w:tc>
        <w:tc>
          <w:tcPr>
            <w:tcW w:w="2810" w:type="dxa"/>
            <w:gridSpan w:val="4"/>
            <w:tcBorders>
              <w:left w:val="single" w:sz="12" w:space="0" w:color="auto"/>
              <w:right w:val="double" w:sz="4" w:space="0" w:color="auto"/>
            </w:tcBorders>
            <w:vAlign w:val="bottom"/>
          </w:tcPr>
          <w:p w14:paraId="29518F2F" w14:textId="77777777" w:rsidR="00E465D0" w:rsidRPr="00E465D0" w:rsidRDefault="00E465D0" w:rsidP="00302827">
            <w:pPr>
              <w:jc w:val="center"/>
              <w:rPr>
                <w:sz w:val="18"/>
                <w:szCs w:val="18"/>
              </w:rPr>
            </w:pPr>
            <w:r w:rsidRPr="00E465D0">
              <w:rPr>
                <w:sz w:val="18"/>
                <w:szCs w:val="18"/>
              </w:rPr>
              <w:t>Leisure Stops</w:t>
            </w:r>
          </w:p>
        </w:tc>
        <w:tc>
          <w:tcPr>
            <w:tcW w:w="2810" w:type="dxa"/>
            <w:gridSpan w:val="4"/>
            <w:tcBorders>
              <w:left w:val="double" w:sz="4" w:space="0" w:color="auto"/>
              <w:right w:val="single" w:sz="12" w:space="0" w:color="auto"/>
            </w:tcBorders>
            <w:shd w:val="clear" w:color="auto" w:fill="D9D9D9" w:themeFill="background1" w:themeFillShade="D9"/>
            <w:vAlign w:val="bottom"/>
          </w:tcPr>
          <w:p w14:paraId="38EECB1A" w14:textId="77777777" w:rsidR="00E465D0" w:rsidRPr="00E465D0" w:rsidRDefault="00E465D0" w:rsidP="00302827">
            <w:pPr>
              <w:jc w:val="center"/>
              <w:rPr>
                <w:sz w:val="18"/>
                <w:szCs w:val="18"/>
              </w:rPr>
            </w:pPr>
            <w:r w:rsidRPr="00E465D0">
              <w:rPr>
                <w:sz w:val="18"/>
                <w:szCs w:val="18"/>
              </w:rPr>
              <w:t>Maintenance Stops</w:t>
            </w:r>
          </w:p>
        </w:tc>
        <w:tc>
          <w:tcPr>
            <w:tcW w:w="2810" w:type="dxa"/>
            <w:gridSpan w:val="4"/>
            <w:tcBorders>
              <w:left w:val="single" w:sz="12" w:space="0" w:color="auto"/>
              <w:right w:val="double" w:sz="4" w:space="0" w:color="auto"/>
            </w:tcBorders>
            <w:vAlign w:val="bottom"/>
          </w:tcPr>
          <w:p w14:paraId="3BF273CC" w14:textId="77777777" w:rsidR="00E465D0" w:rsidRPr="00E465D0" w:rsidRDefault="00E465D0" w:rsidP="00302827">
            <w:pPr>
              <w:jc w:val="center"/>
              <w:rPr>
                <w:sz w:val="18"/>
                <w:szCs w:val="18"/>
              </w:rPr>
            </w:pPr>
            <w:r w:rsidRPr="00E465D0">
              <w:rPr>
                <w:sz w:val="18"/>
                <w:szCs w:val="18"/>
              </w:rPr>
              <w:t>Leisure Stops</w:t>
            </w:r>
          </w:p>
        </w:tc>
      </w:tr>
      <w:tr w:rsidR="00E465D0" w:rsidRPr="00E465D0" w14:paraId="2006481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456AB07F" w14:textId="77777777" w:rsidR="00E465D0" w:rsidRPr="00E465D0" w:rsidRDefault="00E465D0" w:rsidP="00302827">
            <w:pPr>
              <w:jc w:val="center"/>
              <w:rPr>
                <w:sz w:val="20"/>
                <w:szCs w:val="20"/>
              </w:rPr>
            </w:pPr>
          </w:p>
        </w:tc>
        <w:tc>
          <w:tcPr>
            <w:tcW w:w="1260" w:type="dxa"/>
            <w:vMerge/>
            <w:tcBorders>
              <w:bottom w:val="single" w:sz="12" w:space="0" w:color="auto"/>
              <w:right w:val="double" w:sz="4" w:space="0" w:color="auto"/>
            </w:tcBorders>
          </w:tcPr>
          <w:p w14:paraId="2901DEA4" w14:textId="77777777" w:rsidR="00E465D0" w:rsidRPr="00E465D0" w:rsidRDefault="00E465D0" w:rsidP="00302827">
            <w:pPr>
              <w:rPr>
                <w:sz w:val="18"/>
                <w:szCs w:val="18"/>
              </w:rPr>
            </w:pPr>
          </w:p>
        </w:tc>
        <w:tc>
          <w:tcPr>
            <w:tcW w:w="1405" w:type="dxa"/>
            <w:gridSpan w:val="2"/>
            <w:tcBorders>
              <w:left w:val="double" w:sz="4" w:space="0" w:color="auto"/>
              <w:bottom w:val="single" w:sz="12" w:space="0" w:color="auto"/>
            </w:tcBorders>
            <w:shd w:val="clear" w:color="auto" w:fill="D9D9D9" w:themeFill="background1" w:themeFillShade="D9"/>
            <w:vAlign w:val="bottom"/>
          </w:tcPr>
          <w:p w14:paraId="47C6FFA3" w14:textId="77777777" w:rsidR="00E465D0" w:rsidRPr="00E465D0" w:rsidRDefault="00E465D0" w:rsidP="00302827">
            <w:pPr>
              <w:jc w:val="center"/>
              <w:rPr>
                <w:sz w:val="18"/>
                <w:szCs w:val="18"/>
              </w:rPr>
            </w:pPr>
            <w:r w:rsidRPr="00E465D0">
              <w:rPr>
                <w:sz w:val="18"/>
                <w:szCs w:val="18"/>
              </w:rPr>
              <w:t>Expected Number of Stops</w:t>
            </w:r>
          </w:p>
        </w:tc>
        <w:tc>
          <w:tcPr>
            <w:tcW w:w="1405" w:type="dxa"/>
            <w:gridSpan w:val="2"/>
            <w:tcBorders>
              <w:bottom w:val="single" w:sz="12" w:space="0" w:color="auto"/>
              <w:right w:val="single" w:sz="12" w:space="0" w:color="auto"/>
            </w:tcBorders>
            <w:shd w:val="clear" w:color="auto" w:fill="D9D9D9" w:themeFill="background1" w:themeFillShade="D9"/>
          </w:tcPr>
          <w:p w14:paraId="3849E3B0" w14:textId="77777777" w:rsidR="00E465D0" w:rsidRPr="00E465D0" w:rsidRDefault="00E465D0" w:rsidP="00302827">
            <w:pPr>
              <w:jc w:val="center"/>
              <w:rPr>
                <w:sz w:val="18"/>
                <w:szCs w:val="18"/>
              </w:rPr>
            </w:pPr>
            <w:r w:rsidRPr="00E465D0">
              <w:rPr>
                <w:sz w:val="18"/>
                <w:szCs w:val="18"/>
              </w:rPr>
              <w:t>% Change from “Never” Teleworking</w:t>
            </w:r>
          </w:p>
        </w:tc>
        <w:tc>
          <w:tcPr>
            <w:tcW w:w="1405" w:type="dxa"/>
            <w:gridSpan w:val="2"/>
            <w:tcBorders>
              <w:left w:val="single" w:sz="12" w:space="0" w:color="auto"/>
              <w:bottom w:val="single" w:sz="12" w:space="0" w:color="auto"/>
            </w:tcBorders>
            <w:vAlign w:val="bottom"/>
          </w:tcPr>
          <w:p w14:paraId="05B097C1" w14:textId="77777777" w:rsidR="00E465D0" w:rsidRPr="00E465D0" w:rsidRDefault="00E465D0" w:rsidP="00302827">
            <w:pPr>
              <w:jc w:val="center"/>
              <w:rPr>
                <w:sz w:val="18"/>
                <w:szCs w:val="18"/>
              </w:rPr>
            </w:pPr>
            <w:r w:rsidRPr="00E465D0">
              <w:rPr>
                <w:sz w:val="18"/>
                <w:szCs w:val="18"/>
              </w:rPr>
              <w:t>Expected Number of Stops</w:t>
            </w:r>
          </w:p>
        </w:tc>
        <w:tc>
          <w:tcPr>
            <w:tcW w:w="1405" w:type="dxa"/>
            <w:gridSpan w:val="2"/>
            <w:tcBorders>
              <w:bottom w:val="single" w:sz="12" w:space="0" w:color="auto"/>
              <w:right w:val="double" w:sz="4" w:space="0" w:color="auto"/>
            </w:tcBorders>
          </w:tcPr>
          <w:p w14:paraId="62BA7F28" w14:textId="77777777" w:rsidR="00E465D0" w:rsidRPr="00E465D0" w:rsidRDefault="00E465D0" w:rsidP="00302827">
            <w:pPr>
              <w:jc w:val="center"/>
              <w:rPr>
                <w:sz w:val="18"/>
                <w:szCs w:val="18"/>
              </w:rPr>
            </w:pPr>
            <w:r w:rsidRPr="00E465D0">
              <w:rPr>
                <w:sz w:val="18"/>
                <w:szCs w:val="18"/>
              </w:rPr>
              <w:t>% Change from “Never” Teleworking</w:t>
            </w:r>
          </w:p>
        </w:tc>
        <w:tc>
          <w:tcPr>
            <w:tcW w:w="1405" w:type="dxa"/>
            <w:gridSpan w:val="2"/>
            <w:tcBorders>
              <w:left w:val="double" w:sz="4" w:space="0" w:color="auto"/>
              <w:bottom w:val="single" w:sz="12" w:space="0" w:color="auto"/>
            </w:tcBorders>
            <w:shd w:val="clear" w:color="auto" w:fill="D9D9D9" w:themeFill="background1" w:themeFillShade="D9"/>
            <w:vAlign w:val="bottom"/>
          </w:tcPr>
          <w:p w14:paraId="27AD1CA4" w14:textId="77777777" w:rsidR="00E465D0" w:rsidRPr="00E465D0" w:rsidRDefault="00E465D0" w:rsidP="00302827">
            <w:pPr>
              <w:jc w:val="center"/>
              <w:rPr>
                <w:sz w:val="18"/>
                <w:szCs w:val="18"/>
              </w:rPr>
            </w:pPr>
            <w:r w:rsidRPr="00E465D0">
              <w:rPr>
                <w:sz w:val="18"/>
                <w:szCs w:val="18"/>
              </w:rPr>
              <w:t>Expected Number of Stops</w:t>
            </w:r>
          </w:p>
        </w:tc>
        <w:tc>
          <w:tcPr>
            <w:tcW w:w="1405" w:type="dxa"/>
            <w:gridSpan w:val="2"/>
            <w:tcBorders>
              <w:bottom w:val="single" w:sz="12" w:space="0" w:color="auto"/>
              <w:right w:val="single" w:sz="12" w:space="0" w:color="auto"/>
            </w:tcBorders>
            <w:shd w:val="clear" w:color="auto" w:fill="D9D9D9" w:themeFill="background1" w:themeFillShade="D9"/>
          </w:tcPr>
          <w:p w14:paraId="373083C4" w14:textId="77777777" w:rsidR="00E465D0" w:rsidRPr="00E465D0" w:rsidRDefault="00E465D0" w:rsidP="00302827">
            <w:pPr>
              <w:jc w:val="center"/>
              <w:rPr>
                <w:sz w:val="18"/>
                <w:szCs w:val="18"/>
              </w:rPr>
            </w:pPr>
            <w:r w:rsidRPr="00E465D0">
              <w:rPr>
                <w:sz w:val="18"/>
                <w:szCs w:val="18"/>
              </w:rPr>
              <w:t>% Change from “Never” Teleworking</w:t>
            </w:r>
          </w:p>
        </w:tc>
        <w:tc>
          <w:tcPr>
            <w:tcW w:w="1405" w:type="dxa"/>
            <w:gridSpan w:val="2"/>
            <w:tcBorders>
              <w:left w:val="single" w:sz="12" w:space="0" w:color="auto"/>
              <w:bottom w:val="single" w:sz="12" w:space="0" w:color="auto"/>
              <w:right w:val="single" w:sz="4" w:space="0" w:color="auto"/>
            </w:tcBorders>
            <w:vAlign w:val="bottom"/>
          </w:tcPr>
          <w:p w14:paraId="5B3BB4EB" w14:textId="77777777" w:rsidR="00E465D0" w:rsidRPr="00E465D0" w:rsidRDefault="00E465D0" w:rsidP="00302827">
            <w:pPr>
              <w:jc w:val="center"/>
              <w:rPr>
                <w:sz w:val="18"/>
                <w:szCs w:val="18"/>
              </w:rPr>
            </w:pPr>
            <w:r w:rsidRPr="00E465D0">
              <w:rPr>
                <w:sz w:val="18"/>
                <w:szCs w:val="18"/>
              </w:rPr>
              <w:t>Expected Number of Stops</w:t>
            </w:r>
          </w:p>
        </w:tc>
        <w:tc>
          <w:tcPr>
            <w:tcW w:w="1405" w:type="dxa"/>
            <w:gridSpan w:val="2"/>
            <w:tcBorders>
              <w:left w:val="single" w:sz="4" w:space="0" w:color="auto"/>
              <w:bottom w:val="single" w:sz="12" w:space="0" w:color="auto"/>
              <w:right w:val="double" w:sz="4" w:space="0" w:color="auto"/>
            </w:tcBorders>
          </w:tcPr>
          <w:p w14:paraId="1C98767D" w14:textId="77777777" w:rsidR="00E465D0" w:rsidRPr="00E465D0" w:rsidRDefault="00E465D0" w:rsidP="00302827">
            <w:pPr>
              <w:jc w:val="center"/>
              <w:rPr>
                <w:sz w:val="18"/>
                <w:szCs w:val="18"/>
              </w:rPr>
            </w:pPr>
            <w:r w:rsidRPr="00E465D0">
              <w:rPr>
                <w:sz w:val="18"/>
                <w:szCs w:val="18"/>
              </w:rPr>
              <w:t>% Change from “Never” Teleworking</w:t>
            </w:r>
          </w:p>
        </w:tc>
      </w:tr>
      <w:tr w:rsidR="00F03774" w:rsidRPr="00E465D0" w14:paraId="6CBC5C2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2C087A6A" w14:textId="77777777" w:rsidR="00F03774" w:rsidRPr="00E465D0" w:rsidRDefault="00F03774" w:rsidP="00F03774">
            <w:pPr>
              <w:jc w:val="center"/>
              <w:rPr>
                <w:sz w:val="20"/>
                <w:szCs w:val="20"/>
              </w:rPr>
            </w:pPr>
          </w:p>
        </w:tc>
        <w:tc>
          <w:tcPr>
            <w:tcW w:w="1260" w:type="dxa"/>
            <w:tcBorders>
              <w:top w:val="single" w:sz="12" w:space="0" w:color="auto"/>
              <w:right w:val="double" w:sz="4" w:space="0" w:color="auto"/>
            </w:tcBorders>
          </w:tcPr>
          <w:p w14:paraId="5C4D091A" w14:textId="77777777" w:rsidR="00F03774" w:rsidRPr="00E465D0" w:rsidRDefault="00F03774" w:rsidP="00F03774">
            <w:pPr>
              <w:rPr>
                <w:sz w:val="18"/>
                <w:szCs w:val="18"/>
              </w:rPr>
            </w:pPr>
            <w:r w:rsidRPr="00E465D0">
              <w:rPr>
                <w:sz w:val="18"/>
                <w:szCs w:val="18"/>
              </w:rPr>
              <w:t>Never</w:t>
            </w:r>
          </w:p>
        </w:tc>
        <w:tc>
          <w:tcPr>
            <w:tcW w:w="1405" w:type="dxa"/>
            <w:gridSpan w:val="2"/>
            <w:tcBorders>
              <w:top w:val="single" w:sz="12" w:space="0" w:color="auto"/>
              <w:left w:val="double" w:sz="4" w:space="0" w:color="auto"/>
            </w:tcBorders>
            <w:shd w:val="clear" w:color="auto" w:fill="D9D9D9" w:themeFill="background1" w:themeFillShade="D9"/>
            <w:vAlign w:val="bottom"/>
          </w:tcPr>
          <w:p w14:paraId="1263070F" w14:textId="74E437D4" w:rsidR="00F03774" w:rsidRPr="005D4542" w:rsidRDefault="00F03774" w:rsidP="00F03774">
            <w:pPr>
              <w:jc w:val="right"/>
              <w:rPr>
                <w:sz w:val="22"/>
                <w:szCs w:val="22"/>
              </w:rPr>
            </w:pPr>
            <w:r w:rsidRPr="005D4542">
              <w:rPr>
                <w:sz w:val="22"/>
                <w:szCs w:val="22"/>
              </w:rPr>
              <w:t>3.84</w:t>
            </w:r>
          </w:p>
        </w:tc>
        <w:tc>
          <w:tcPr>
            <w:tcW w:w="1405" w:type="dxa"/>
            <w:gridSpan w:val="2"/>
            <w:tcBorders>
              <w:top w:val="single" w:sz="12" w:space="0" w:color="auto"/>
              <w:right w:val="single" w:sz="12" w:space="0" w:color="auto"/>
            </w:tcBorders>
            <w:shd w:val="clear" w:color="auto" w:fill="D9D9D9" w:themeFill="background1" w:themeFillShade="D9"/>
            <w:vAlign w:val="bottom"/>
          </w:tcPr>
          <w:p w14:paraId="7C129167" w14:textId="697597B7" w:rsidR="00F03774" w:rsidRPr="005D4542" w:rsidRDefault="00F03774" w:rsidP="00F03774">
            <w:pPr>
              <w:jc w:val="right"/>
              <w:rPr>
                <w:sz w:val="22"/>
                <w:szCs w:val="22"/>
              </w:rPr>
            </w:pPr>
            <w:r w:rsidRPr="005D4542">
              <w:rPr>
                <w:sz w:val="22"/>
                <w:szCs w:val="22"/>
              </w:rPr>
              <w:t>--</w:t>
            </w:r>
          </w:p>
        </w:tc>
        <w:tc>
          <w:tcPr>
            <w:tcW w:w="1405" w:type="dxa"/>
            <w:gridSpan w:val="2"/>
            <w:tcBorders>
              <w:top w:val="single" w:sz="12" w:space="0" w:color="auto"/>
              <w:left w:val="single" w:sz="12" w:space="0" w:color="auto"/>
            </w:tcBorders>
            <w:vAlign w:val="bottom"/>
          </w:tcPr>
          <w:p w14:paraId="6F611D24" w14:textId="3A8291BD" w:rsidR="00F03774" w:rsidRPr="005D4542" w:rsidRDefault="00F03774" w:rsidP="00F03774">
            <w:pPr>
              <w:jc w:val="right"/>
              <w:rPr>
                <w:sz w:val="22"/>
                <w:szCs w:val="22"/>
              </w:rPr>
            </w:pPr>
            <w:r w:rsidRPr="005D4542">
              <w:rPr>
                <w:sz w:val="22"/>
                <w:szCs w:val="22"/>
              </w:rPr>
              <w:t>4.33</w:t>
            </w:r>
          </w:p>
        </w:tc>
        <w:tc>
          <w:tcPr>
            <w:tcW w:w="1405" w:type="dxa"/>
            <w:gridSpan w:val="2"/>
            <w:tcBorders>
              <w:top w:val="single" w:sz="12" w:space="0" w:color="auto"/>
              <w:right w:val="double" w:sz="4" w:space="0" w:color="auto"/>
            </w:tcBorders>
            <w:vAlign w:val="bottom"/>
          </w:tcPr>
          <w:p w14:paraId="7BA7F0AD" w14:textId="16BE3CC0" w:rsidR="00F03774" w:rsidRPr="005D4542" w:rsidRDefault="00F03774" w:rsidP="00F03774">
            <w:pPr>
              <w:jc w:val="right"/>
              <w:rPr>
                <w:sz w:val="22"/>
                <w:szCs w:val="22"/>
              </w:rPr>
            </w:pPr>
            <w:r w:rsidRPr="005D4542">
              <w:rPr>
                <w:sz w:val="22"/>
                <w:szCs w:val="22"/>
              </w:rPr>
              <w:t>--</w:t>
            </w:r>
          </w:p>
        </w:tc>
        <w:tc>
          <w:tcPr>
            <w:tcW w:w="1405" w:type="dxa"/>
            <w:gridSpan w:val="2"/>
            <w:tcBorders>
              <w:top w:val="single" w:sz="12" w:space="0" w:color="auto"/>
              <w:left w:val="double" w:sz="4" w:space="0" w:color="auto"/>
            </w:tcBorders>
            <w:shd w:val="clear" w:color="auto" w:fill="D9D9D9" w:themeFill="background1" w:themeFillShade="D9"/>
            <w:vAlign w:val="bottom"/>
          </w:tcPr>
          <w:p w14:paraId="74C90DC3" w14:textId="31F69D0E" w:rsidR="00F03774" w:rsidRPr="005D4542" w:rsidRDefault="00F03774" w:rsidP="00F03774">
            <w:pPr>
              <w:jc w:val="right"/>
              <w:rPr>
                <w:sz w:val="22"/>
                <w:szCs w:val="22"/>
              </w:rPr>
            </w:pPr>
            <w:r w:rsidRPr="005D4542">
              <w:rPr>
                <w:sz w:val="22"/>
                <w:szCs w:val="22"/>
              </w:rPr>
              <w:t>3.84</w:t>
            </w:r>
          </w:p>
        </w:tc>
        <w:tc>
          <w:tcPr>
            <w:tcW w:w="1405" w:type="dxa"/>
            <w:gridSpan w:val="2"/>
            <w:tcBorders>
              <w:top w:val="single" w:sz="12" w:space="0" w:color="auto"/>
              <w:right w:val="single" w:sz="12" w:space="0" w:color="auto"/>
            </w:tcBorders>
            <w:shd w:val="clear" w:color="auto" w:fill="D9D9D9" w:themeFill="background1" w:themeFillShade="D9"/>
            <w:vAlign w:val="bottom"/>
          </w:tcPr>
          <w:p w14:paraId="6021E7DA" w14:textId="157C5723" w:rsidR="00F03774" w:rsidRPr="005D4542" w:rsidRDefault="00F03774" w:rsidP="00F03774">
            <w:pPr>
              <w:jc w:val="right"/>
              <w:rPr>
                <w:sz w:val="22"/>
                <w:szCs w:val="22"/>
              </w:rPr>
            </w:pPr>
            <w:r w:rsidRPr="005D4542">
              <w:rPr>
                <w:sz w:val="22"/>
                <w:szCs w:val="22"/>
              </w:rPr>
              <w:t>--</w:t>
            </w:r>
          </w:p>
        </w:tc>
        <w:tc>
          <w:tcPr>
            <w:tcW w:w="1405" w:type="dxa"/>
            <w:gridSpan w:val="2"/>
            <w:tcBorders>
              <w:top w:val="single" w:sz="12" w:space="0" w:color="auto"/>
              <w:left w:val="single" w:sz="12" w:space="0" w:color="auto"/>
              <w:right w:val="single" w:sz="4" w:space="0" w:color="auto"/>
            </w:tcBorders>
            <w:vAlign w:val="bottom"/>
          </w:tcPr>
          <w:p w14:paraId="0FC87356" w14:textId="2FC4D270" w:rsidR="00F03774" w:rsidRPr="005D4542" w:rsidRDefault="00F03774" w:rsidP="00F03774">
            <w:pPr>
              <w:jc w:val="right"/>
              <w:rPr>
                <w:sz w:val="22"/>
                <w:szCs w:val="22"/>
              </w:rPr>
            </w:pPr>
            <w:r w:rsidRPr="005D4542">
              <w:rPr>
                <w:sz w:val="22"/>
                <w:szCs w:val="22"/>
              </w:rPr>
              <w:t>5.19</w:t>
            </w:r>
          </w:p>
        </w:tc>
        <w:tc>
          <w:tcPr>
            <w:tcW w:w="1405" w:type="dxa"/>
            <w:gridSpan w:val="2"/>
            <w:tcBorders>
              <w:top w:val="single" w:sz="12" w:space="0" w:color="auto"/>
              <w:left w:val="single" w:sz="4" w:space="0" w:color="auto"/>
              <w:right w:val="double" w:sz="4" w:space="0" w:color="auto"/>
            </w:tcBorders>
            <w:vAlign w:val="bottom"/>
          </w:tcPr>
          <w:p w14:paraId="17FD5541" w14:textId="579B1EB3" w:rsidR="00F03774" w:rsidRPr="005D4542" w:rsidRDefault="00F03774" w:rsidP="00F03774">
            <w:pPr>
              <w:jc w:val="right"/>
              <w:rPr>
                <w:sz w:val="22"/>
                <w:szCs w:val="22"/>
              </w:rPr>
            </w:pPr>
            <w:r w:rsidRPr="005D4542">
              <w:rPr>
                <w:sz w:val="22"/>
                <w:szCs w:val="22"/>
              </w:rPr>
              <w:t>--</w:t>
            </w:r>
          </w:p>
        </w:tc>
      </w:tr>
      <w:tr w:rsidR="00F03774" w:rsidRPr="00E465D0" w14:paraId="45A10630"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11273CB3" w14:textId="77777777" w:rsidR="00F03774" w:rsidRPr="00E465D0" w:rsidRDefault="00F03774" w:rsidP="00F03774">
            <w:pPr>
              <w:jc w:val="center"/>
              <w:rPr>
                <w:sz w:val="20"/>
                <w:szCs w:val="20"/>
              </w:rPr>
            </w:pPr>
          </w:p>
        </w:tc>
        <w:tc>
          <w:tcPr>
            <w:tcW w:w="1260" w:type="dxa"/>
            <w:tcBorders>
              <w:right w:val="double" w:sz="4" w:space="0" w:color="auto"/>
            </w:tcBorders>
          </w:tcPr>
          <w:p w14:paraId="29506948" w14:textId="77777777" w:rsidR="00F03774" w:rsidRPr="00E465D0" w:rsidRDefault="00F03774" w:rsidP="00F03774">
            <w:pPr>
              <w:rPr>
                <w:sz w:val="18"/>
                <w:szCs w:val="18"/>
              </w:rPr>
            </w:pPr>
            <w:r w:rsidRPr="00E465D0">
              <w:rPr>
                <w:sz w:val="18"/>
                <w:szCs w:val="18"/>
              </w:rPr>
              <w:t>&lt; Monthly</w:t>
            </w:r>
          </w:p>
        </w:tc>
        <w:tc>
          <w:tcPr>
            <w:tcW w:w="1405" w:type="dxa"/>
            <w:gridSpan w:val="2"/>
            <w:tcBorders>
              <w:left w:val="double" w:sz="4" w:space="0" w:color="auto"/>
            </w:tcBorders>
            <w:shd w:val="clear" w:color="auto" w:fill="D9D9D9" w:themeFill="background1" w:themeFillShade="D9"/>
            <w:vAlign w:val="bottom"/>
          </w:tcPr>
          <w:p w14:paraId="0CE3C939" w14:textId="0D800FC5" w:rsidR="00F03774" w:rsidRPr="005D4542" w:rsidRDefault="00F03774" w:rsidP="00F03774">
            <w:pPr>
              <w:jc w:val="right"/>
              <w:rPr>
                <w:sz w:val="22"/>
                <w:szCs w:val="22"/>
              </w:rPr>
            </w:pPr>
            <w:r w:rsidRPr="005D4542">
              <w:rPr>
                <w:sz w:val="22"/>
                <w:szCs w:val="22"/>
              </w:rPr>
              <w:t>3.77</w:t>
            </w:r>
          </w:p>
        </w:tc>
        <w:tc>
          <w:tcPr>
            <w:tcW w:w="1405" w:type="dxa"/>
            <w:gridSpan w:val="2"/>
            <w:tcBorders>
              <w:right w:val="single" w:sz="12" w:space="0" w:color="auto"/>
            </w:tcBorders>
            <w:shd w:val="clear" w:color="auto" w:fill="D9D9D9" w:themeFill="background1" w:themeFillShade="D9"/>
            <w:vAlign w:val="bottom"/>
          </w:tcPr>
          <w:p w14:paraId="19AB4FEC" w14:textId="14DE63A2" w:rsidR="00F03774" w:rsidRPr="005D4542" w:rsidRDefault="00F03774" w:rsidP="00F03774">
            <w:pPr>
              <w:jc w:val="right"/>
              <w:rPr>
                <w:sz w:val="22"/>
                <w:szCs w:val="22"/>
              </w:rPr>
            </w:pPr>
            <w:r w:rsidRPr="005D4542">
              <w:rPr>
                <w:sz w:val="22"/>
                <w:szCs w:val="22"/>
              </w:rPr>
              <w:t>-2.0</w:t>
            </w:r>
          </w:p>
        </w:tc>
        <w:tc>
          <w:tcPr>
            <w:tcW w:w="1405" w:type="dxa"/>
            <w:gridSpan w:val="2"/>
            <w:tcBorders>
              <w:left w:val="single" w:sz="12" w:space="0" w:color="auto"/>
            </w:tcBorders>
            <w:vAlign w:val="bottom"/>
          </w:tcPr>
          <w:p w14:paraId="5C25DDC2" w14:textId="672E08F5" w:rsidR="00F03774" w:rsidRPr="005D4542" w:rsidRDefault="00F03774" w:rsidP="00F03774">
            <w:pPr>
              <w:jc w:val="right"/>
              <w:rPr>
                <w:sz w:val="22"/>
                <w:szCs w:val="22"/>
              </w:rPr>
            </w:pPr>
            <w:r w:rsidRPr="005D4542">
              <w:rPr>
                <w:sz w:val="22"/>
                <w:szCs w:val="22"/>
              </w:rPr>
              <w:t>4.12</w:t>
            </w:r>
          </w:p>
        </w:tc>
        <w:tc>
          <w:tcPr>
            <w:tcW w:w="1405" w:type="dxa"/>
            <w:gridSpan w:val="2"/>
            <w:tcBorders>
              <w:right w:val="double" w:sz="4" w:space="0" w:color="auto"/>
            </w:tcBorders>
            <w:vAlign w:val="bottom"/>
          </w:tcPr>
          <w:p w14:paraId="33B95131" w14:textId="500AB796" w:rsidR="00F03774" w:rsidRPr="005D4542" w:rsidRDefault="00F03774" w:rsidP="00F03774">
            <w:pPr>
              <w:jc w:val="right"/>
              <w:rPr>
                <w:sz w:val="22"/>
                <w:szCs w:val="22"/>
              </w:rPr>
            </w:pPr>
            <w:r w:rsidRPr="005D4542">
              <w:rPr>
                <w:sz w:val="22"/>
                <w:szCs w:val="22"/>
              </w:rPr>
              <w:t>-4.8</w:t>
            </w:r>
          </w:p>
        </w:tc>
        <w:tc>
          <w:tcPr>
            <w:tcW w:w="1405" w:type="dxa"/>
            <w:gridSpan w:val="2"/>
            <w:tcBorders>
              <w:left w:val="double" w:sz="4" w:space="0" w:color="auto"/>
            </w:tcBorders>
            <w:shd w:val="clear" w:color="auto" w:fill="D9D9D9" w:themeFill="background1" w:themeFillShade="D9"/>
            <w:vAlign w:val="bottom"/>
          </w:tcPr>
          <w:p w14:paraId="676C85FC" w14:textId="01503185" w:rsidR="00F03774" w:rsidRPr="005D4542" w:rsidRDefault="00F03774" w:rsidP="00F03774">
            <w:pPr>
              <w:jc w:val="right"/>
              <w:rPr>
                <w:sz w:val="22"/>
                <w:szCs w:val="22"/>
              </w:rPr>
            </w:pPr>
            <w:r w:rsidRPr="005D4542">
              <w:rPr>
                <w:sz w:val="22"/>
                <w:szCs w:val="22"/>
              </w:rPr>
              <w:t>3.77</w:t>
            </w:r>
          </w:p>
        </w:tc>
        <w:tc>
          <w:tcPr>
            <w:tcW w:w="1405" w:type="dxa"/>
            <w:gridSpan w:val="2"/>
            <w:tcBorders>
              <w:right w:val="single" w:sz="12" w:space="0" w:color="auto"/>
            </w:tcBorders>
            <w:shd w:val="clear" w:color="auto" w:fill="D9D9D9" w:themeFill="background1" w:themeFillShade="D9"/>
            <w:vAlign w:val="bottom"/>
          </w:tcPr>
          <w:p w14:paraId="495D15CC" w14:textId="17268968" w:rsidR="00F03774" w:rsidRPr="005D4542" w:rsidRDefault="00F03774" w:rsidP="00F03774">
            <w:pPr>
              <w:jc w:val="right"/>
              <w:rPr>
                <w:sz w:val="22"/>
                <w:szCs w:val="22"/>
              </w:rPr>
            </w:pPr>
            <w:r w:rsidRPr="005D4542">
              <w:rPr>
                <w:sz w:val="22"/>
                <w:szCs w:val="22"/>
              </w:rPr>
              <w:t>-2.0</w:t>
            </w:r>
          </w:p>
        </w:tc>
        <w:tc>
          <w:tcPr>
            <w:tcW w:w="1405" w:type="dxa"/>
            <w:gridSpan w:val="2"/>
            <w:tcBorders>
              <w:left w:val="single" w:sz="12" w:space="0" w:color="auto"/>
              <w:right w:val="single" w:sz="4" w:space="0" w:color="auto"/>
            </w:tcBorders>
            <w:vAlign w:val="bottom"/>
          </w:tcPr>
          <w:p w14:paraId="131A199D" w14:textId="01C4672F" w:rsidR="00F03774" w:rsidRPr="005D4542" w:rsidRDefault="00F03774" w:rsidP="00F03774">
            <w:pPr>
              <w:jc w:val="right"/>
              <w:rPr>
                <w:sz w:val="22"/>
                <w:szCs w:val="22"/>
              </w:rPr>
            </w:pPr>
            <w:r w:rsidRPr="005D4542">
              <w:rPr>
                <w:sz w:val="22"/>
                <w:szCs w:val="22"/>
              </w:rPr>
              <w:t>4.97</w:t>
            </w:r>
          </w:p>
        </w:tc>
        <w:tc>
          <w:tcPr>
            <w:tcW w:w="1405" w:type="dxa"/>
            <w:gridSpan w:val="2"/>
            <w:tcBorders>
              <w:left w:val="single" w:sz="4" w:space="0" w:color="auto"/>
              <w:right w:val="double" w:sz="4" w:space="0" w:color="auto"/>
            </w:tcBorders>
            <w:vAlign w:val="bottom"/>
          </w:tcPr>
          <w:p w14:paraId="6B556217" w14:textId="1A016C13" w:rsidR="00F03774" w:rsidRPr="005D4542" w:rsidRDefault="00F03774" w:rsidP="00F03774">
            <w:pPr>
              <w:jc w:val="right"/>
              <w:rPr>
                <w:sz w:val="22"/>
                <w:szCs w:val="22"/>
              </w:rPr>
            </w:pPr>
            <w:r w:rsidRPr="005D4542">
              <w:rPr>
                <w:sz w:val="22"/>
                <w:szCs w:val="22"/>
              </w:rPr>
              <w:t>-4.2</w:t>
            </w:r>
          </w:p>
        </w:tc>
      </w:tr>
      <w:tr w:rsidR="00F03774" w:rsidRPr="00E465D0" w14:paraId="646E0172"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4D7746C3" w14:textId="77777777" w:rsidR="00F03774" w:rsidRPr="00E465D0" w:rsidRDefault="00F03774" w:rsidP="00F03774">
            <w:pPr>
              <w:jc w:val="center"/>
              <w:rPr>
                <w:sz w:val="20"/>
                <w:szCs w:val="20"/>
              </w:rPr>
            </w:pPr>
          </w:p>
        </w:tc>
        <w:tc>
          <w:tcPr>
            <w:tcW w:w="1260" w:type="dxa"/>
            <w:tcBorders>
              <w:right w:val="double" w:sz="4" w:space="0" w:color="auto"/>
            </w:tcBorders>
          </w:tcPr>
          <w:p w14:paraId="73E2932F" w14:textId="0B4D4B8D" w:rsidR="00F03774" w:rsidRPr="00E465D0" w:rsidRDefault="007D67AC" w:rsidP="00F03774">
            <w:pPr>
              <w:rPr>
                <w:sz w:val="18"/>
                <w:szCs w:val="18"/>
              </w:rPr>
            </w:pPr>
            <w:r>
              <w:rPr>
                <w:sz w:val="18"/>
                <w:szCs w:val="18"/>
              </w:rPr>
              <w:t>1-3</w:t>
            </w:r>
            <w:r w:rsidR="00F03774" w:rsidRPr="00E465D0">
              <w:rPr>
                <w:sz w:val="18"/>
                <w:szCs w:val="18"/>
              </w:rPr>
              <w:t xml:space="preserve"> days/mo.</w:t>
            </w:r>
          </w:p>
        </w:tc>
        <w:tc>
          <w:tcPr>
            <w:tcW w:w="1405" w:type="dxa"/>
            <w:gridSpan w:val="2"/>
            <w:tcBorders>
              <w:left w:val="double" w:sz="4" w:space="0" w:color="auto"/>
            </w:tcBorders>
            <w:shd w:val="clear" w:color="auto" w:fill="D9D9D9" w:themeFill="background1" w:themeFillShade="D9"/>
            <w:vAlign w:val="bottom"/>
          </w:tcPr>
          <w:p w14:paraId="563564F0" w14:textId="4C5FCC05" w:rsidR="00F03774" w:rsidRPr="005D4542" w:rsidRDefault="00F03774" w:rsidP="00F03774">
            <w:pPr>
              <w:jc w:val="right"/>
              <w:rPr>
                <w:sz w:val="22"/>
                <w:szCs w:val="22"/>
              </w:rPr>
            </w:pPr>
            <w:r w:rsidRPr="005D4542">
              <w:rPr>
                <w:sz w:val="22"/>
                <w:szCs w:val="22"/>
              </w:rPr>
              <w:t>3.97</w:t>
            </w:r>
          </w:p>
        </w:tc>
        <w:tc>
          <w:tcPr>
            <w:tcW w:w="1405" w:type="dxa"/>
            <w:gridSpan w:val="2"/>
            <w:tcBorders>
              <w:right w:val="single" w:sz="12" w:space="0" w:color="auto"/>
            </w:tcBorders>
            <w:shd w:val="clear" w:color="auto" w:fill="D9D9D9" w:themeFill="background1" w:themeFillShade="D9"/>
            <w:vAlign w:val="bottom"/>
          </w:tcPr>
          <w:p w14:paraId="596E368F" w14:textId="587A6162" w:rsidR="00F03774" w:rsidRPr="005D4542" w:rsidRDefault="00F03774" w:rsidP="00F03774">
            <w:pPr>
              <w:jc w:val="right"/>
              <w:rPr>
                <w:sz w:val="22"/>
                <w:szCs w:val="22"/>
              </w:rPr>
            </w:pPr>
            <w:r w:rsidRPr="005D4542">
              <w:rPr>
                <w:sz w:val="22"/>
                <w:szCs w:val="22"/>
              </w:rPr>
              <w:t>3.4</w:t>
            </w:r>
          </w:p>
        </w:tc>
        <w:tc>
          <w:tcPr>
            <w:tcW w:w="1405" w:type="dxa"/>
            <w:gridSpan w:val="2"/>
            <w:tcBorders>
              <w:left w:val="single" w:sz="12" w:space="0" w:color="auto"/>
            </w:tcBorders>
            <w:vAlign w:val="bottom"/>
          </w:tcPr>
          <w:p w14:paraId="742FF0F3" w14:textId="3D5DF53F" w:rsidR="00F03774" w:rsidRPr="005D4542" w:rsidRDefault="00F03774" w:rsidP="00F03774">
            <w:pPr>
              <w:jc w:val="right"/>
              <w:rPr>
                <w:sz w:val="22"/>
                <w:szCs w:val="22"/>
              </w:rPr>
            </w:pPr>
            <w:r w:rsidRPr="005D4542">
              <w:rPr>
                <w:sz w:val="22"/>
                <w:szCs w:val="22"/>
              </w:rPr>
              <w:t>4.96</w:t>
            </w:r>
          </w:p>
        </w:tc>
        <w:tc>
          <w:tcPr>
            <w:tcW w:w="1405" w:type="dxa"/>
            <w:gridSpan w:val="2"/>
            <w:tcBorders>
              <w:right w:val="double" w:sz="4" w:space="0" w:color="auto"/>
            </w:tcBorders>
            <w:vAlign w:val="bottom"/>
          </w:tcPr>
          <w:p w14:paraId="6E3B94C8" w14:textId="17E41BC1" w:rsidR="00F03774" w:rsidRPr="005D4542" w:rsidRDefault="00F03774" w:rsidP="00F03774">
            <w:pPr>
              <w:jc w:val="right"/>
              <w:rPr>
                <w:sz w:val="22"/>
                <w:szCs w:val="22"/>
              </w:rPr>
            </w:pPr>
            <w:r w:rsidRPr="005D4542">
              <w:rPr>
                <w:sz w:val="22"/>
                <w:szCs w:val="22"/>
              </w:rPr>
              <w:t>14.5</w:t>
            </w:r>
          </w:p>
        </w:tc>
        <w:tc>
          <w:tcPr>
            <w:tcW w:w="1405" w:type="dxa"/>
            <w:gridSpan w:val="2"/>
            <w:tcBorders>
              <w:left w:val="double" w:sz="4" w:space="0" w:color="auto"/>
            </w:tcBorders>
            <w:shd w:val="clear" w:color="auto" w:fill="D9D9D9" w:themeFill="background1" w:themeFillShade="D9"/>
            <w:vAlign w:val="bottom"/>
          </w:tcPr>
          <w:p w14:paraId="7EC7BC41" w14:textId="790C242F" w:rsidR="00F03774" w:rsidRPr="005D4542" w:rsidRDefault="00F03774" w:rsidP="00F03774">
            <w:pPr>
              <w:jc w:val="right"/>
              <w:rPr>
                <w:sz w:val="22"/>
                <w:szCs w:val="22"/>
              </w:rPr>
            </w:pPr>
            <w:r w:rsidRPr="005D4542">
              <w:rPr>
                <w:sz w:val="22"/>
                <w:szCs w:val="22"/>
              </w:rPr>
              <w:t>3.97</w:t>
            </w:r>
          </w:p>
        </w:tc>
        <w:tc>
          <w:tcPr>
            <w:tcW w:w="1405" w:type="dxa"/>
            <w:gridSpan w:val="2"/>
            <w:tcBorders>
              <w:right w:val="single" w:sz="12" w:space="0" w:color="auto"/>
            </w:tcBorders>
            <w:shd w:val="clear" w:color="auto" w:fill="D9D9D9" w:themeFill="background1" w:themeFillShade="D9"/>
            <w:vAlign w:val="bottom"/>
          </w:tcPr>
          <w:p w14:paraId="4F8E16B4" w14:textId="46FB65AD" w:rsidR="00F03774" w:rsidRPr="005D4542" w:rsidRDefault="00F03774" w:rsidP="00F03774">
            <w:pPr>
              <w:jc w:val="right"/>
              <w:rPr>
                <w:sz w:val="22"/>
                <w:szCs w:val="22"/>
              </w:rPr>
            </w:pPr>
            <w:r w:rsidRPr="005D4542">
              <w:rPr>
                <w:sz w:val="22"/>
                <w:szCs w:val="22"/>
              </w:rPr>
              <w:t>3.4</w:t>
            </w:r>
          </w:p>
        </w:tc>
        <w:tc>
          <w:tcPr>
            <w:tcW w:w="1405" w:type="dxa"/>
            <w:gridSpan w:val="2"/>
            <w:tcBorders>
              <w:left w:val="single" w:sz="12" w:space="0" w:color="auto"/>
              <w:right w:val="single" w:sz="4" w:space="0" w:color="auto"/>
            </w:tcBorders>
            <w:vAlign w:val="bottom"/>
          </w:tcPr>
          <w:p w14:paraId="1909D26E" w14:textId="6ABC7F49" w:rsidR="00F03774" w:rsidRPr="005D4542" w:rsidRDefault="00F03774" w:rsidP="00F03774">
            <w:pPr>
              <w:jc w:val="right"/>
              <w:rPr>
                <w:sz w:val="22"/>
                <w:szCs w:val="22"/>
              </w:rPr>
            </w:pPr>
            <w:r w:rsidRPr="005D4542">
              <w:rPr>
                <w:sz w:val="22"/>
                <w:szCs w:val="22"/>
              </w:rPr>
              <w:t>5.86</w:t>
            </w:r>
          </w:p>
        </w:tc>
        <w:tc>
          <w:tcPr>
            <w:tcW w:w="1405" w:type="dxa"/>
            <w:gridSpan w:val="2"/>
            <w:tcBorders>
              <w:left w:val="single" w:sz="4" w:space="0" w:color="auto"/>
              <w:right w:val="double" w:sz="4" w:space="0" w:color="auto"/>
            </w:tcBorders>
            <w:vAlign w:val="bottom"/>
          </w:tcPr>
          <w:p w14:paraId="28DA940A" w14:textId="38CD56EC" w:rsidR="00F03774" w:rsidRPr="005D4542" w:rsidRDefault="00F03774" w:rsidP="00F03774">
            <w:pPr>
              <w:jc w:val="right"/>
              <w:rPr>
                <w:sz w:val="22"/>
                <w:szCs w:val="22"/>
              </w:rPr>
            </w:pPr>
            <w:r w:rsidRPr="005D4542">
              <w:rPr>
                <w:sz w:val="22"/>
                <w:szCs w:val="22"/>
              </w:rPr>
              <w:t>12.9</w:t>
            </w:r>
          </w:p>
        </w:tc>
      </w:tr>
      <w:tr w:rsidR="00F03774" w:rsidRPr="00E465D0" w14:paraId="1FCAE58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6B3A6CFF" w14:textId="77777777" w:rsidR="00F03774" w:rsidRPr="00E465D0" w:rsidRDefault="00F03774" w:rsidP="00F03774">
            <w:pPr>
              <w:jc w:val="center"/>
              <w:rPr>
                <w:sz w:val="20"/>
                <w:szCs w:val="20"/>
              </w:rPr>
            </w:pPr>
          </w:p>
        </w:tc>
        <w:tc>
          <w:tcPr>
            <w:tcW w:w="1260" w:type="dxa"/>
            <w:tcBorders>
              <w:right w:val="double" w:sz="4" w:space="0" w:color="auto"/>
            </w:tcBorders>
          </w:tcPr>
          <w:p w14:paraId="3B7452C5" w14:textId="77777777" w:rsidR="00F03774" w:rsidRPr="00E465D0" w:rsidRDefault="00F03774" w:rsidP="00F03774">
            <w:pPr>
              <w:rPr>
                <w:sz w:val="18"/>
                <w:szCs w:val="18"/>
              </w:rPr>
            </w:pPr>
            <w:r w:rsidRPr="00E465D0">
              <w:rPr>
                <w:sz w:val="18"/>
                <w:szCs w:val="18"/>
              </w:rPr>
              <w:t>1 day/wk.</w:t>
            </w:r>
          </w:p>
        </w:tc>
        <w:tc>
          <w:tcPr>
            <w:tcW w:w="1405" w:type="dxa"/>
            <w:gridSpan w:val="2"/>
            <w:tcBorders>
              <w:left w:val="double" w:sz="4" w:space="0" w:color="auto"/>
            </w:tcBorders>
            <w:shd w:val="clear" w:color="auto" w:fill="D9D9D9" w:themeFill="background1" w:themeFillShade="D9"/>
            <w:vAlign w:val="bottom"/>
          </w:tcPr>
          <w:p w14:paraId="78982B33" w14:textId="008CEE4F" w:rsidR="00F03774" w:rsidRPr="005D4542" w:rsidRDefault="00F03774" w:rsidP="00F03774">
            <w:pPr>
              <w:jc w:val="right"/>
              <w:rPr>
                <w:sz w:val="22"/>
                <w:szCs w:val="22"/>
              </w:rPr>
            </w:pPr>
            <w:r w:rsidRPr="005D4542">
              <w:rPr>
                <w:sz w:val="22"/>
                <w:szCs w:val="22"/>
              </w:rPr>
              <w:t>3.90</w:t>
            </w:r>
          </w:p>
        </w:tc>
        <w:tc>
          <w:tcPr>
            <w:tcW w:w="1405" w:type="dxa"/>
            <w:gridSpan w:val="2"/>
            <w:tcBorders>
              <w:right w:val="single" w:sz="12" w:space="0" w:color="auto"/>
            </w:tcBorders>
            <w:shd w:val="clear" w:color="auto" w:fill="D9D9D9" w:themeFill="background1" w:themeFillShade="D9"/>
            <w:vAlign w:val="bottom"/>
          </w:tcPr>
          <w:p w14:paraId="00BE495A" w14:textId="250FE1ED" w:rsidR="00F03774" w:rsidRPr="005D4542" w:rsidRDefault="00F03774" w:rsidP="00F03774">
            <w:pPr>
              <w:jc w:val="right"/>
              <w:rPr>
                <w:sz w:val="22"/>
                <w:szCs w:val="22"/>
              </w:rPr>
            </w:pPr>
            <w:r w:rsidRPr="005D4542">
              <w:rPr>
                <w:sz w:val="22"/>
                <w:szCs w:val="22"/>
              </w:rPr>
              <w:t>1.6</w:t>
            </w:r>
          </w:p>
        </w:tc>
        <w:tc>
          <w:tcPr>
            <w:tcW w:w="1405" w:type="dxa"/>
            <w:gridSpan w:val="2"/>
            <w:tcBorders>
              <w:left w:val="single" w:sz="12" w:space="0" w:color="auto"/>
            </w:tcBorders>
            <w:vAlign w:val="bottom"/>
          </w:tcPr>
          <w:p w14:paraId="1F10C50F" w14:textId="58B856CB" w:rsidR="00F03774" w:rsidRPr="005D4542" w:rsidRDefault="00F03774" w:rsidP="00F03774">
            <w:pPr>
              <w:jc w:val="right"/>
              <w:rPr>
                <w:sz w:val="22"/>
                <w:szCs w:val="22"/>
              </w:rPr>
            </w:pPr>
            <w:r w:rsidRPr="005D4542">
              <w:rPr>
                <w:sz w:val="22"/>
                <w:szCs w:val="22"/>
              </w:rPr>
              <w:t>4.70</w:t>
            </w:r>
          </w:p>
        </w:tc>
        <w:tc>
          <w:tcPr>
            <w:tcW w:w="1405" w:type="dxa"/>
            <w:gridSpan w:val="2"/>
            <w:tcBorders>
              <w:right w:val="double" w:sz="4" w:space="0" w:color="auto"/>
            </w:tcBorders>
            <w:vAlign w:val="bottom"/>
          </w:tcPr>
          <w:p w14:paraId="61648F3D" w14:textId="5172563B" w:rsidR="00F03774" w:rsidRPr="005D4542" w:rsidRDefault="00F03774" w:rsidP="00F03774">
            <w:pPr>
              <w:jc w:val="right"/>
              <w:rPr>
                <w:sz w:val="22"/>
                <w:szCs w:val="22"/>
              </w:rPr>
            </w:pPr>
            <w:r w:rsidRPr="005D4542">
              <w:rPr>
                <w:sz w:val="22"/>
                <w:szCs w:val="22"/>
              </w:rPr>
              <w:t>8.4</w:t>
            </w:r>
          </w:p>
        </w:tc>
        <w:tc>
          <w:tcPr>
            <w:tcW w:w="1405" w:type="dxa"/>
            <w:gridSpan w:val="2"/>
            <w:tcBorders>
              <w:left w:val="double" w:sz="4" w:space="0" w:color="auto"/>
            </w:tcBorders>
            <w:shd w:val="clear" w:color="auto" w:fill="D9D9D9" w:themeFill="background1" w:themeFillShade="D9"/>
            <w:vAlign w:val="bottom"/>
          </w:tcPr>
          <w:p w14:paraId="69D804BE" w14:textId="31EC51CF" w:rsidR="00F03774" w:rsidRPr="005D4542" w:rsidRDefault="00F03774" w:rsidP="00F03774">
            <w:pPr>
              <w:jc w:val="right"/>
              <w:rPr>
                <w:sz w:val="22"/>
                <w:szCs w:val="22"/>
              </w:rPr>
            </w:pPr>
            <w:r w:rsidRPr="005D4542">
              <w:rPr>
                <w:sz w:val="22"/>
                <w:szCs w:val="22"/>
              </w:rPr>
              <w:t>3.90</w:t>
            </w:r>
          </w:p>
        </w:tc>
        <w:tc>
          <w:tcPr>
            <w:tcW w:w="1405" w:type="dxa"/>
            <w:gridSpan w:val="2"/>
            <w:tcBorders>
              <w:right w:val="single" w:sz="12" w:space="0" w:color="auto"/>
            </w:tcBorders>
            <w:shd w:val="clear" w:color="auto" w:fill="D9D9D9" w:themeFill="background1" w:themeFillShade="D9"/>
            <w:vAlign w:val="bottom"/>
          </w:tcPr>
          <w:p w14:paraId="1F3ACCA2" w14:textId="134C1185" w:rsidR="00F03774" w:rsidRPr="005D4542" w:rsidRDefault="00F03774" w:rsidP="00F03774">
            <w:pPr>
              <w:jc w:val="right"/>
              <w:rPr>
                <w:sz w:val="22"/>
                <w:szCs w:val="22"/>
              </w:rPr>
            </w:pPr>
            <w:r w:rsidRPr="005D4542">
              <w:rPr>
                <w:sz w:val="22"/>
                <w:szCs w:val="22"/>
              </w:rPr>
              <w:t>1.6</w:t>
            </w:r>
          </w:p>
        </w:tc>
        <w:tc>
          <w:tcPr>
            <w:tcW w:w="1405" w:type="dxa"/>
            <w:gridSpan w:val="2"/>
            <w:tcBorders>
              <w:left w:val="single" w:sz="12" w:space="0" w:color="auto"/>
              <w:right w:val="single" w:sz="4" w:space="0" w:color="auto"/>
            </w:tcBorders>
            <w:vAlign w:val="bottom"/>
          </w:tcPr>
          <w:p w14:paraId="2DC93400" w14:textId="4C93CF05" w:rsidR="00F03774" w:rsidRPr="005D4542" w:rsidRDefault="00F03774" w:rsidP="00F03774">
            <w:pPr>
              <w:jc w:val="right"/>
              <w:rPr>
                <w:sz w:val="22"/>
                <w:szCs w:val="22"/>
              </w:rPr>
            </w:pPr>
            <w:r w:rsidRPr="005D4542">
              <w:rPr>
                <w:sz w:val="22"/>
                <w:szCs w:val="22"/>
              </w:rPr>
              <w:t>5.58</w:t>
            </w:r>
          </w:p>
        </w:tc>
        <w:tc>
          <w:tcPr>
            <w:tcW w:w="1405" w:type="dxa"/>
            <w:gridSpan w:val="2"/>
            <w:tcBorders>
              <w:left w:val="single" w:sz="4" w:space="0" w:color="auto"/>
              <w:right w:val="double" w:sz="4" w:space="0" w:color="auto"/>
            </w:tcBorders>
            <w:vAlign w:val="bottom"/>
          </w:tcPr>
          <w:p w14:paraId="1ADCB2FA" w14:textId="269B8476" w:rsidR="00F03774" w:rsidRPr="005D4542" w:rsidRDefault="00F03774" w:rsidP="00F03774">
            <w:pPr>
              <w:jc w:val="right"/>
              <w:rPr>
                <w:sz w:val="22"/>
                <w:szCs w:val="22"/>
              </w:rPr>
            </w:pPr>
            <w:r w:rsidRPr="005D4542">
              <w:rPr>
                <w:sz w:val="22"/>
                <w:szCs w:val="22"/>
              </w:rPr>
              <w:t>7.5</w:t>
            </w:r>
          </w:p>
        </w:tc>
      </w:tr>
      <w:tr w:rsidR="00F03774" w:rsidRPr="00E465D0" w14:paraId="25CB5237"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45D45B89" w14:textId="77777777" w:rsidR="00F03774" w:rsidRPr="00E465D0" w:rsidRDefault="00F03774" w:rsidP="00F03774">
            <w:pPr>
              <w:jc w:val="center"/>
              <w:rPr>
                <w:sz w:val="20"/>
                <w:szCs w:val="20"/>
              </w:rPr>
            </w:pPr>
          </w:p>
        </w:tc>
        <w:tc>
          <w:tcPr>
            <w:tcW w:w="1260" w:type="dxa"/>
            <w:tcBorders>
              <w:right w:val="double" w:sz="4" w:space="0" w:color="auto"/>
            </w:tcBorders>
          </w:tcPr>
          <w:p w14:paraId="7EC87B65" w14:textId="77777777" w:rsidR="00F03774" w:rsidRPr="00E465D0" w:rsidRDefault="00F03774" w:rsidP="00F03774">
            <w:pPr>
              <w:rPr>
                <w:sz w:val="18"/>
                <w:szCs w:val="18"/>
              </w:rPr>
            </w:pPr>
            <w:r w:rsidRPr="00E465D0">
              <w:rPr>
                <w:sz w:val="18"/>
                <w:szCs w:val="18"/>
              </w:rPr>
              <w:t>2-3 days/wk.</w:t>
            </w:r>
          </w:p>
        </w:tc>
        <w:tc>
          <w:tcPr>
            <w:tcW w:w="1405" w:type="dxa"/>
            <w:gridSpan w:val="2"/>
            <w:tcBorders>
              <w:left w:val="double" w:sz="4" w:space="0" w:color="auto"/>
            </w:tcBorders>
            <w:shd w:val="clear" w:color="auto" w:fill="D9D9D9" w:themeFill="background1" w:themeFillShade="D9"/>
            <w:vAlign w:val="bottom"/>
          </w:tcPr>
          <w:p w14:paraId="6C32CFB8" w14:textId="172F5DC3" w:rsidR="00F03774" w:rsidRPr="005D4542" w:rsidRDefault="00F03774" w:rsidP="00F03774">
            <w:pPr>
              <w:jc w:val="right"/>
              <w:rPr>
                <w:sz w:val="22"/>
                <w:szCs w:val="22"/>
              </w:rPr>
            </w:pPr>
            <w:r w:rsidRPr="005D4542">
              <w:rPr>
                <w:sz w:val="22"/>
                <w:szCs w:val="22"/>
              </w:rPr>
              <w:t>3.84</w:t>
            </w:r>
          </w:p>
        </w:tc>
        <w:tc>
          <w:tcPr>
            <w:tcW w:w="1405" w:type="dxa"/>
            <w:gridSpan w:val="2"/>
            <w:tcBorders>
              <w:right w:val="single" w:sz="12" w:space="0" w:color="auto"/>
            </w:tcBorders>
            <w:shd w:val="clear" w:color="auto" w:fill="D9D9D9" w:themeFill="background1" w:themeFillShade="D9"/>
            <w:vAlign w:val="bottom"/>
          </w:tcPr>
          <w:p w14:paraId="7457B3C3" w14:textId="404EC072" w:rsidR="00F03774" w:rsidRPr="005D4542" w:rsidRDefault="00F03774" w:rsidP="00F03774">
            <w:pPr>
              <w:jc w:val="right"/>
              <w:rPr>
                <w:sz w:val="22"/>
                <w:szCs w:val="22"/>
              </w:rPr>
            </w:pPr>
            <w:r w:rsidRPr="005D4542">
              <w:rPr>
                <w:sz w:val="22"/>
                <w:szCs w:val="22"/>
              </w:rPr>
              <w:t>-0.1</w:t>
            </w:r>
          </w:p>
        </w:tc>
        <w:tc>
          <w:tcPr>
            <w:tcW w:w="1405" w:type="dxa"/>
            <w:gridSpan w:val="2"/>
            <w:tcBorders>
              <w:left w:val="single" w:sz="12" w:space="0" w:color="auto"/>
            </w:tcBorders>
            <w:vAlign w:val="bottom"/>
          </w:tcPr>
          <w:p w14:paraId="63982BA9" w14:textId="459DFDF6" w:rsidR="00F03774" w:rsidRPr="005D4542" w:rsidRDefault="00F03774" w:rsidP="00F03774">
            <w:pPr>
              <w:jc w:val="right"/>
              <w:rPr>
                <w:sz w:val="22"/>
                <w:szCs w:val="22"/>
              </w:rPr>
            </w:pPr>
            <w:r w:rsidRPr="005D4542">
              <w:rPr>
                <w:sz w:val="22"/>
                <w:szCs w:val="22"/>
              </w:rPr>
              <w:t>4.47</w:t>
            </w:r>
          </w:p>
        </w:tc>
        <w:tc>
          <w:tcPr>
            <w:tcW w:w="1405" w:type="dxa"/>
            <w:gridSpan w:val="2"/>
            <w:tcBorders>
              <w:right w:val="double" w:sz="4" w:space="0" w:color="auto"/>
            </w:tcBorders>
            <w:vAlign w:val="bottom"/>
          </w:tcPr>
          <w:p w14:paraId="5FCFDAEB" w14:textId="6D00647A" w:rsidR="00F03774" w:rsidRPr="005D4542" w:rsidRDefault="00F03774" w:rsidP="00F03774">
            <w:pPr>
              <w:jc w:val="right"/>
              <w:rPr>
                <w:sz w:val="22"/>
                <w:szCs w:val="22"/>
              </w:rPr>
            </w:pPr>
            <w:r w:rsidRPr="005D4542">
              <w:rPr>
                <w:sz w:val="22"/>
                <w:szCs w:val="22"/>
              </w:rPr>
              <w:t>3.2</w:t>
            </w:r>
          </w:p>
        </w:tc>
        <w:tc>
          <w:tcPr>
            <w:tcW w:w="1405" w:type="dxa"/>
            <w:gridSpan w:val="2"/>
            <w:tcBorders>
              <w:left w:val="double" w:sz="4" w:space="0" w:color="auto"/>
            </w:tcBorders>
            <w:shd w:val="clear" w:color="auto" w:fill="D9D9D9" w:themeFill="background1" w:themeFillShade="D9"/>
            <w:vAlign w:val="bottom"/>
          </w:tcPr>
          <w:p w14:paraId="440E521F" w14:textId="11290248" w:rsidR="00F03774" w:rsidRPr="005D4542" w:rsidRDefault="00F03774" w:rsidP="00F03774">
            <w:pPr>
              <w:jc w:val="right"/>
              <w:rPr>
                <w:sz w:val="22"/>
                <w:szCs w:val="22"/>
              </w:rPr>
            </w:pPr>
            <w:r w:rsidRPr="005D4542">
              <w:rPr>
                <w:sz w:val="22"/>
                <w:szCs w:val="22"/>
              </w:rPr>
              <w:t>3.84</w:t>
            </w:r>
          </w:p>
        </w:tc>
        <w:tc>
          <w:tcPr>
            <w:tcW w:w="1405" w:type="dxa"/>
            <w:gridSpan w:val="2"/>
            <w:tcBorders>
              <w:right w:val="single" w:sz="12" w:space="0" w:color="auto"/>
            </w:tcBorders>
            <w:shd w:val="clear" w:color="auto" w:fill="D9D9D9" w:themeFill="background1" w:themeFillShade="D9"/>
            <w:vAlign w:val="bottom"/>
          </w:tcPr>
          <w:p w14:paraId="7471468D" w14:textId="2C6C7916" w:rsidR="00F03774" w:rsidRPr="005D4542" w:rsidRDefault="00F03774" w:rsidP="00F03774">
            <w:pPr>
              <w:jc w:val="right"/>
              <w:rPr>
                <w:sz w:val="22"/>
                <w:szCs w:val="22"/>
              </w:rPr>
            </w:pPr>
            <w:r w:rsidRPr="005D4542">
              <w:rPr>
                <w:sz w:val="22"/>
                <w:szCs w:val="22"/>
              </w:rPr>
              <w:t>-0.1</w:t>
            </w:r>
          </w:p>
        </w:tc>
        <w:tc>
          <w:tcPr>
            <w:tcW w:w="1405" w:type="dxa"/>
            <w:gridSpan w:val="2"/>
            <w:tcBorders>
              <w:left w:val="single" w:sz="12" w:space="0" w:color="auto"/>
              <w:right w:val="single" w:sz="4" w:space="0" w:color="auto"/>
            </w:tcBorders>
            <w:vAlign w:val="bottom"/>
          </w:tcPr>
          <w:p w14:paraId="38AC8084" w14:textId="10C948EB" w:rsidR="00F03774" w:rsidRPr="005D4542" w:rsidRDefault="00F03774" w:rsidP="00F03774">
            <w:pPr>
              <w:jc w:val="right"/>
              <w:rPr>
                <w:sz w:val="22"/>
                <w:szCs w:val="22"/>
              </w:rPr>
            </w:pPr>
            <w:r w:rsidRPr="005D4542">
              <w:rPr>
                <w:sz w:val="22"/>
                <w:szCs w:val="22"/>
              </w:rPr>
              <w:t>5.34</w:t>
            </w:r>
          </w:p>
        </w:tc>
        <w:tc>
          <w:tcPr>
            <w:tcW w:w="1405" w:type="dxa"/>
            <w:gridSpan w:val="2"/>
            <w:tcBorders>
              <w:left w:val="single" w:sz="4" w:space="0" w:color="auto"/>
              <w:right w:val="double" w:sz="4" w:space="0" w:color="auto"/>
            </w:tcBorders>
            <w:vAlign w:val="bottom"/>
          </w:tcPr>
          <w:p w14:paraId="4CCB1401" w14:textId="1B3A8136" w:rsidR="00F03774" w:rsidRPr="005D4542" w:rsidRDefault="00F03774" w:rsidP="00F03774">
            <w:pPr>
              <w:jc w:val="right"/>
              <w:rPr>
                <w:sz w:val="22"/>
                <w:szCs w:val="22"/>
              </w:rPr>
            </w:pPr>
            <w:r w:rsidRPr="005D4542">
              <w:rPr>
                <w:sz w:val="22"/>
                <w:szCs w:val="22"/>
              </w:rPr>
              <w:t>2.9</w:t>
            </w:r>
          </w:p>
        </w:tc>
      </w:tr>
      <w:tr w:rsidR="00F03774" w:rsidRPr="00E465D0" w14:paraId="47D2F181"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41DD862" w14:textId="77777777" w:rsidR="00F03774" w:rsidRPr="00E465D0" w:rsidRDefault="00F03774" w:rsidP="00F03774">
            <w:pPr>
              <w:jc w:val="center"/>
              <w:rPr>
                <w:sz w:val="20"/>
                <w:szCs w:val="20"/>
              </w:rPr>
            </w:pPr>
          </w:p>
        </w:tc>
        <w:tc>
          <w:tcPr>
            <w:tcW w:w="1260" w:type="dxa"/>
            <w:tcBorders>
              <w:bottom w:val="single" w:sz="4" w:space="0" w:color="auto"/>
              <w:right w:val="double" w:sz="4" w:space="0" w:color="auto"/>
            </w:tcBorders>
          </w:tcPr>
          <w:p w14:paraId="0802D742" w14:textId="77777777" w:rsidR="00F03774" w:rsidRPr="00E465D0" w:rsidRDefault="00F03774" w:rsidP="00F03774">
            <w:pPr>
              <w:rPr>
                <w:sz w:val="18"/>
                <w:szCs w:val="18"/>
              </w:rPr>
            </w:pPr>
            <w:r w:rsidRPr="00E465D0">
              <w:rPr>
                <w:sz w:val="18"/>
                <w:szCs w:val="18"/>
              </w:rPr>
              <w:t>4 days/wk.</w:t>
            </w:r>
          </w:p>
        </w:tc>
        <w:tc>
          <w:tcPr>
            <w:tcW w:w="1405" w:type="dxa"/>
            <w:gridSpan w:val="2"/>
            <w:tcBorders>
              <w:left w:val="double" w:sz="4" w:space="0" w:color="auto"/>
              <w:bottom w:val="single" w:sz="4" w:space="0" w:color="auto"/>
            </w:tcBorders>
            <w:shd w:val="clear" w:color="auto" w:fill="D9D9D9" w:themeFill="background1" w:themeFillShade="D9"/>
            <w:vAlign w:val="bottom"/>
          </w:tcPr>
          <w:p w14:paraId="7008C688" w14:textId="58E0F2E8" w:rsidR="00F03774" w:rsidRPr="005D4542" w:rsidRDefault="00F03774" w:rsidP="00F03774">
            <w:pPr>
              <w:jc w:val="right"/>
              <w:rPr>
                <w:sz w:val="22"/>
                <w:szCs w:val="22"/>
              </w:rPr>
            </w:pPr>
            <w:r w:rsidRPr="005D4542">
              <w:rPr>
                <w:sz w:val="22"/>
                <w:szCs w:val="22"/>
              </w:rPr>
              <w:t>3.89</w:t>
            </w:r>
          </w:p>
        </w:tc>
        <w:tc>
          <w:tcPr>
            <w:tcW w:w="1405" w:type="dxa"/>
            <w:gridSpan w:val="2"/>
            <w:tcBorders>
              <w:bottom w:val="single" w:sz="4" w:space="0" w:color="auto"/>
              <w:right w:val="single" w:sz="12" w:space="0" w:color="auto"/>
            </w:tcBorders>
            <w:shd w:val="clear" w:color="auto" w:fill="D9D9D9" w:themeFill="background1" w:themeFillShade="D9"/>
            <w:vAlign w:val="bottom"/>
          </w:tcPr>
          <w:p w14:paraId="1BB53B28" w14:textId="78810341" w:rsidR="00F03774" w:rsidRPr="005D4542" w:rsidRDefault="00F03774" w:rsidP="00F03774">
            <w:pPr>
              <w:jc w:val="right"/>
              <w:rPr>
                <w:sz w:val="22"/>
                <w:szCs w:val="22"/>
              </w:rPr>
            </w:pPr>
            <w:r w:rsidRPr="005D4542">
              <w:rPr>
                <w:sz w:val="22"/>
                <w:szCs w:val="22"/>
              </w:rPr>
              <w:t>1.2</w:t>
            </w:r>
          </w:p>
        </w:tc>
        <w:tc>
          <w:tcPr>
            <w:tcW w:w="1405" w:type="dxa"/>
            <w:gridSpan w:val="2"/>
            <w:tcBorders>
              <w:left w:val="single" w:sz="12" w:space="0" w:color="auto"/>
              <w:bottom w:val="single" w:sz="4" w:space="0" w:color="auto"/>
            </w:tcBorders>
            <w:vAlign w:val="bottom"/>
          </w:tcPr>
          <w:p w14:paraId="12AB28CD" w14:textId="6BFF27AC" w:rsidR="00F03774" w:rsidRPr="005D4542" w:rsidRDefault="00F03774" w:rsidP="00F03774">
            <w:pPr>
              <w:jc w:val="right"/>
              <w:rPr>
                <w:sz w:val="22"/>
                <w:szCs w:val="22"/>
              </w:rPr>
            </w:pPr>
            <w:r w:rsidRPr="005D4542">
              <w:rPr>
                <w:sz w:val="22"/>
                <w:szCs w:val="22"/>
              </w:rPr>
              <w:t>4.69</w:t>
            </w:r>
          </w:p>
        </w:tc>
        <w:tc>
          <w:tcPr>
            <w:tcW w:w="1405" w:type="dxa"/>
            <w:gridSpan w:val="2"/>
            <w:tcBorders>
              <w:bottom w:val="single" w:sz="4" w:space="0" w:color="auto"/>
              <w:right w:val="double" w:sz="4" w:space="0" w:color="auto"/>
            </w:tcBorders>
            <w:vAlign w:val="bottom"/>
          </w:tcPr>
          <w:p w14:paraId="4B490DF3" w14:textId="78FC15B8" w:rsidR="00F03774" w:rsidRPr="005D4542" w:rsidRDefault="00F03774" w:rsidP="00F03774">
            <w:pPr>
              <w:jc w:val="right"/>
              <w:rPr>
                <w:sz w:val="22"/>
                <w:szCs w:val="22"/>
              </w:rPr>
            </w:pPr>
            <w:r w:rsidRPr="005D4542">
              <w:rPr>
                <w:sz w:val="22"/>
                <w:szCs w:val="22"/>
              </w:rPr>
              <w:t>8.3</w:t>
            </w:r>
          </w:p>
        </w:tc>
        <w:tc>
          <w:tcPr>
            <w:tcW w:w="1405" w:type="dxa"/>
            <w:gridSpan w:val="2"/>
            <w:tcBorders>
              <w:left w:val="double" w:sz="4" w:space="0" w:color="auto"/>
              <w:bottom w:val="single" w:sz="4" w:space="0" w:color="auto"/>
            </w:tcBorders>
            <w:shd w:val="clear" w:color="auto" w:fill="D9D9D9" w:themeFill="background1" w:themeFillShade="D9"/>
            <w:vAlign w:val="bottom"/>
          </w:tcPr>
          <w:p w14:paraId="4CA8F613" w14:textId="431421CB" w:rsidR="00F03774" w:rsidRPr="005D4542" w:rsidRDefault="00F03774" w:rsidP="00F03774">
            <w:pPr>
              <w:jc w:val="right"/>
              <w:rPr>
                <w:sz w:val="22"/>
                <w:szCs w:val="22"/>
              </w:rPr>
            </w:pPr>
            <w:r w:rsidRPr="005D4542">
              <w:rPr>
                <w:sz w:val="22"/>
                <w:szCs w:val="22"/>
              </w:rPr>
              <w:t>3.89</w:t>
            </w:r>
          </w:p>
        </w:tc>
        <w:tc>
          <w:tcPr>
            <w:tcW w:w="1405" w:type="dxa"/>
            <w:gridSpan w:val="2"/>
            <w:tcBorders>
              <w:bottom w:val="single" w:sz="4" w:space="0" w:color="auto"/>
              <w:right w:val="single" w:sz="12" w:space="0" w:color="auto"/>
            </w:tcBorders>
            <w:shd w:val="clear" w:color="auto" w:fill="D9D9D9" w:themeFill="background1" w:themeFillShade="D9"/>
            <w:vAlign w:val="bottom"/>
          </w:tcPr>
          <w:p w14:paraId="08F505BB" w14:textId="0C724419" w:rsidR="00F03774" w:rsidRPr="005D4542" w:rsidRDefault="00F03774" w:rsidP="00F03774">
            <w:pPr>
              <w:jc w:val="right"/>
              <w:rPr>
                <w:sz w:val="22"/>
                <w:szCs w:val="22"/>
              </w:rPr>
            </w:pPr>
            <w:r w:rsidRPr="005D4542">
              <w:rPr>
                <w:sz w:val="22"/>
                <w:szCs w:val="22"/>
              </w:rPr>
              <w:t>1.2</w:t>
            </w:r>
          </w:p>
        </w:tc>
        <w:tc>
          <w:tcPr>
            <w:tcW w:w="1405" w:type="dxa"/>
            <w:gridSpan w:val="2"/>
            <w:tcBorders>
              <w:left w:val="single" w:sz="12" w:space="0" w:color="auto"/>
              <w:bottom w:val="single" w:sz="4" w:space="0" w:color="auto"/>
              <w:right w:val="single" w:sz="4" w:space="0" w:color="auto"/>
            </w:tcBorders>
            <w:vAlign w:val="bottom"/>
          </w:tcPr>
          <w:p w14:paraId="3AE98DB5" w14:textId="40857B84" w:rsidR="00F03774" w:rsidRPr="005D4542" w:rsidRDefault="00F03774" w:rsidP="00F03774">
            <w:pPr>
              <w:jc w:val="right"/>
              <w:rPr>
                <w:sz w:val="22"/>
                <w:szCs w:val="22"/>
              </w:rPr>
            </w:pPr>
            <w:r w:rsidRPr="005D4542">
              <w:rPr>
                <w:sz w:val="22"/>
                <w:szCs w:val="22"/>
              </w:rPr>
              <w:t>5.58</w:t>
            </w:r>
          </w:p>
        </w:tc>
        <w:tc>
          <w:tcPr>
            <w:tcW w:w="1405" w:type="dxa"/>
            <w:gridSpan w:val="2"/>
            <w:tcBorders>
              <w:left w:val="single" w:sz="4" w:space="0" w:color="auto"/>
              <w:bottom w:val="single" w:sz="4" w:space="0" w:color="auto"/>
              <w:right w:val="double" w:sz="4" w:space="0" w:color="auto"/>
            </w:tcBorders>
            <w:vAlign w:val="bottom"/>
          </w:tcPr>
          <w:p w14:paraId="2CEE2A21" w14:textId="473D90C8" w:rsidR="00F03774" w:rsidRPr="005D4542" w:rsidRDefault="00F03774" w:rsidP="00F03774">
            <w:pPr>
              <w:jc w:val="right"/>
              <w:rPr>
                <w:sz w:val="22"/>
                <w:szCs w:val="22"/>
              </w:rPr>
            </w:pPr>
            <w:r w:rsidRPr="005D4542">
              <w:rPr>
                <w:sz w:val="22"/>
                <w:szCs w:val="22"/>
              </w:rPr>
              <w:t>7.5</w:t>
            </w:r>
          </w:p>
        </w:tc>
      </w:tr>
      <w:tr w:rsidR="00F03774" w:rsidRPr="00E465D0" w14:paraId="54311C75"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287C094" w14:textId="77777777" w:rsidR="00F03774" w:rsidRPr="00E465D0" w:rsidRDefault="00F03774" w:rsidP="00F03774">
            <w:pPr>
              <w:jc w:val="center"/>
              <w:rPr>
                <w:sz w:val="20"/>
                <w:szCs w:val="20"/>
              </w:rPr>
            </w:pPr>
          </w:p>
        </w:tc>
        <w:tc>
          <w:tcPr>
            <w:tcW w:w="1260" w:type="dxa"/>
            <w:tcBorders>
              <w:bottom w:val="double" w:sz="4" w:space="0" w:color="auto"/>
              <w:right w:val="double" w:sz="4" w:space="0" w:color="auto"/>
            </w:tcBorders>
          </w:tcPr>
          <w:p w14:paraId="2CF391A8" w14:textId="77777777" w:rsidR="00F03774" w:rsidRPr="00E465D0" w:rsidRDefault="00F03774" w:rsidP="00F03774">
            <w:pPr>
              <w:rPr>
                <w:sz w:val="18"/>
                <w:szCs w:val="18"/>
              </w:rPr>
            </w:pPr>
            <w:r w:rsidRPr="00E465D0">
              <w:rPr>
                <w:sz w:val="18"/>
                <w:szCs w:val="18"/>
              </w:rPr>
              <w:t>≥ 5 days/wk.</w:t>
            </w:r>
          </w:p>
        </w:tc>
        <w:tc>
          <w:tcPr>
            <w:tcW w:w="1405" w:type="dxa"/>
            <w:gridSpan w:val="2"/>
            <w:tcBorders>
              <w:left w:val="double" w:sz="4" w:space="0" w:color="auto"/>
              <w:bottom w:val="double" w:sz="4" w:space="0" w:color="auto"/>
            </w:tcBorders>
            <w:shd w:val="clear" w:color="auto" w:fill="D9D9D9" w:themeFill="background1" w:themeFillShade="D9"/>
            <w:vAlign w:val="bottom"/>
          </w:tcPr>
          <w:p w14:paraId="1727B41A" w14:textId="263E424C" w:rsidR="00F03774" w:rsidRPr="005D4542" w:rsidRDefault="00F03774" w:rsidP="00F03774">
            <w:pPr>
              <w:jc w:val="right"/>
              <w:rPr>
                <w:sz w:val="22"/>
                <w:szCs w:val="22"/>
              </w:rPr>
            </w:pPr>
            <w:r w:rsidRPr="005D4542">
              <w:rPr>
                <w:sz w:val="22"/>
                <w:szCs w:val="22"/>
              </w:rPr>
              <w:t>3.82</w:t>
            </w:r>
          </w:p>
        </w:tc>
        <w:tc>
          <w:tcPr>
            <w:tcW w:w="1405" w:type="dxa"/>
            <w:gridSpan w:val="2"/>
            <w:tcBorders>
              <w:bottom w:val="double" w:sz="4" w:space="0" w:color="auto"/>
              <w:right w:val="single" w:sz="12" w:space="0" w:color="auto"/>
            </w:tcBorders>
            <w:shd w:val="clear" w:color="auto" w:fill="D9D9D9" w:themeFill="background1" w:themeFillShade="D9"/>
            <w:vAlign w:val="bottom"/>
          </w:tcPr>
          <w:p w14:paraId="6934FA4C" w14:textId="41F3095F" w:rsidR="00F03774" w:rsidRPr="005D4542" w:rsidRDefault="00F03774" w:rsidP="00F03774">
            <w:pPr>
              <w:jc w:val="right"/>
              <w:rPr>
                <w:sz w:val="22"/>
                <w:szCs w:val="22"/>
              </w:rPr>
            </w:pPr>
            <w:r w:rsidRPr="005D4542">
              <w:rPr>
                <w:sz w:val="22"/>
                <w:szCs w:val="22"/>
              </w:rPr>
              <w:t>-0.6</w:t>
            </w:r>
          </w:p>
        </w:tc>
        <w:tc>
          <w:tcPr>
            <w:tcW w:w="1405" w:type="dxa"/>
            <w:gridSpan w:val="2"/>
            <w:tcBorders>
              <w:left w:val="single" w:sz="12" w:space="0" w:color="auto"/>
              <w:bottom w:val="double" w:sz="4" w:space="0" w:color="auto"/>
            </w:tcBorders>
            <w:vAlign w:val="bottom"/>
          </w:tcPr>
          <w:p w14:paraId="30731FEF" w14:textId="652DE30E" w:rsidR="00F03774" w:rsidRPr="005D4542" w:rsidRDefault="00F03774" w:rsidP="00F03774">
            <w:pPr>
              <w:jc w:val="right"/>
              <w:rPr>
                <w:sz w:val="22"/>
                <w:szCs w:val="22"/>
              </w:rPr>
            </w:pPr>
            <w:r w:rsidRPr="005D4542">
              <w:rPr>
                <w:sz w:val="22"/>
                <w:szCs w:val="22"/>
              </w:rPr>
              <w:t>4.50</w:t>
            </w:r>
          </w:p>
        </w:tc>
        <w:tc>
          <w:tcPr>
            <w:tcW w:w="1405" w:type="dxa"/>
            <w:gridSpan w:val="2"/>
            <w:tcBorders>
              <w:bottom w:val="double" w:sz="4" w:space="0" w:color="auto"/>
              <w:right w:val="double" w:sz="4" w:space="0" w:color="auto"/>
            </w:tcBorders>
            <w:vAlign w:val="bottom"/>
          </w:tcPr>
          <w:p w14:paraId="4B9CE3FF" w14:textId="5A448B6F" w:rsidR="00F03774" w:rsidRPr="005D4542" w:rsidRDefault="00F03774" w:rsidP="00F03774">
            <w:pPr>
              <w:jc w:val="right"/>
              <w:rPr>
                <w:sz w:val="22"/>
                <w:szCs w:val="22"/>
              </w:rPr>
            </w:pPr>
            <w:r w:rsidRPr="005D4542">
              <w:rPr>
                <w:sz w:val="22"/>
                <w:szCs w:val="22"/>
              </w:rPr>
              <w:t>3.8</w:t>
            </w:r>
          </w:p>
        </w:tc>
        <w:tc>
          <w:tcPr>
            <w:tcW w:w="1405" w:type="dxa"/>
            <w:gridSpan w:val="2"/>
            <w:tcBorders>
              <w:left w:val="double" w:sz="4" w:space="0" w:color="auto"/>
              <w:bottom w:val="double" w:sz="4" w:space="0" w:color="auto"/>
            </w:tcBorders>
            <w:shd w:val="clear" w:color="auto" w:fill="D9D9D9" w:themeFill="background1" w:themeFillShade="D9"/>
            <w:vAlign w:val="bottom"/>
          </w:tcPr>
          <w:p w14:paraId="5CE3951C" w14:textId="087E1F72" w:rsidR="00F03774" w:rsidRPr="005D4542" w:rsidRDefault="00F03774" w:rsidP="00F03774">
            <w:pPr>
              <w:jc w:val="right"/>
              <w:rPr>
                <w:sz w:val="22"/>
                <w:szCs w:val="22"/>
              </w:rPr>
            </w:pPr>
            <w:r w:rsidRPr="005D4542">
              <w:rPr>
                <w:sz w:val="22"/>
                <w:szCs w:val="22"/>
              </w:rPr>
              <w:t>3.82</w:t>
            </w:r>
          </w:p>
        </w:tc>
        <w:tc>
          <w:tcPr>
            <w:tcW w:w="1405" w:type="dxa"/>
            <w:gridSpan w:val="2"/>
            <w:tcBorders>
              <w:bottom w:val="double" w:sz="4" w:space="0" w:color="auto"/>
              <w:right w:val="single" w:sz="12" w:space="0" w:color="auto"/>
            </w:tcBorders>
            <w:shd w:val="clear" w:color="auto" w:fill="D9D9D9" w:themeFill="background1" w:themeFillShade="D9"/>
            <w:vAlign w:val="bottom"/>
          </w:tcPr>
          <w:p w14:paraId="21DC4D75" w14:textId="49CDB92C" w:rsidR="00F03774" w:rsidRPr="005D4542" w:rsidRDefault="00F03774" w:rsidP="00F03774">
            <w:pPr>
              <w:jc w:val="right"/>
              <w:rPr>
                <w:sz w:val="22"/>
                <w:szCs w:val="22"/>
              </w:rPr>
            </w:pPr>
            <w:r w:rsidRPr="005D4542">
              <w:rPr>
                <w:sz w:val="22"/>
                <w:szCs w:val="22"/>
              </w:rPr>
              <w:t>-0.6</w:t>
            </w:r>
          </w:p>
        </w:tc>
        <w:tc>
          <w:tcPr>
            <w:tcW w:w="1405" w:type="dxa"/>
            <w:gridSpan w:val="2"/>
            <w:tcBorders>
              <w:left w:val="single" w:sz="12" w:space="0" w:color="auto"/>
              <w:bottom w:val="double" w:sz="4" w:space="0" w:color="auto"/>
              <w:right w:val="single" w:sz="4" w:space="0" w:color="auto"/>
            </w:tcBorders>
            <w:vAlign w:val="bottom"/>
          </w:tcPr>
          <w:p w14:paraId="1B9445C4" w14:textId="2F6E3AB4" w:rsidR="00F03774" w:rsidRPr="005D4542" w:rsidRDefault="00F03774" w:rsidP="00F03774">
            <w:pPr>
              <w:jc w:val="right"/>
              <w:rPr>
                <w:sz w:val="22"/>
                <w:szCs w:val="22"/>
              </w:rPr>
            </w:pPr>
            <w:r w:rsidRPr="005D4542">
              <w:rPr>
                <w:sz w:val="22"/>
                <w:szCs w:val="22"/>
              </w:rPr>
              <w:t>5.37</w:t>
            </w:r>
          </w:p>
        </w:tc>
        <w:tc>
          <w:tcPr>
            <w:tcW w:w="1405" w:type="dxa"/>
            <w:gridSpan w:val="2"/>
            <w:tcBorders>
              <w:left w:val="single" w:sz="4" w:space="0" w:color="auto"/>
              <w:bottom w:val="double" w:sz="4" w:space="0" w:color="auto"/>
              <w:right w:val="double" w:sz="4" w:space="0" w:color="auto"/>
            </w:tcBorders>
            <w:vAlign w:val="bottom"/>
          </w:tcPr>
          <w:p w14:paraId="224535E3" w14:textId="4625DB24" w:rsidR="00F03774" w:rsidRPr="005D4542" w:rsidRDefault="00F03774" w:rsidP="00F03774">
            <w:pPr>
              <w:jc w:val="right"/>
              <w:rPr>
                <w:sz w:val="22"/>
                <w:szCs w:val="22"/>
              </w:rPr>
            </w:pPr>
            <w:r w:rsidRPr="005D4542">
              <w:rPr>
                <w:sz w:val="22"/>
                <w:szCs w:val="22"/>
              </w:rPr>
              <w:t>3.6</w:t>
            </w:r>
          </w:p>
        </w:tc>
      </w:tr>
      <w:tr w:rsidR="00E465D0" w:rsidRPr="00E465D0" w14:paraId="77CC4131" w14:textId="77777777" w:rsidTr="00302827">
        <w:trPr>
          <w:trHeight w:val="288"/>
        </w:trPr>
        <w:tc>
          <w:tcPr>
            <w:tcW w:w="985" w:type="dxa"/>
            <w:vMerge w:val="restart"/>
            <w:tcBorders>
              <w:top w:val="double" w:sz="4" w:space="0" w:color="auto"/>
              <w:left w:val="double" w:sz="4" w:space="0" w:color="auto"/>
              <w:bottom w:val="single" w:sz="4" w:space="0" w:color="auto"/>
            </w:tcBorders>
            <w:vAlign w:val="center"/>
          </w:tcPr>
          <w:p w14:paraId="7B1D89EB" w14:textId="77777777" w:rsidR="00E465D0" w:rsidRPr="00E465D0" w:rsidRDefault="00E465D0" w:rsidP="00302827">
            <w:pPr>
              <w:jc w:val="center"/>
              <w:rPr>
                <w:sz w:val="18"/>
                <w:szCs w:val="18"/>
              </w:rPr>
            </w:pPr>
            <w:r w:rsidRPr="00E465D0">
              <w:rPr>
                <w:sz w:val="20"/>
                <w:szCs w:val="20"/>
              </w:rPr>
              <w:t>Number of Vehicles</w:t>
            </w:r>
          </w:p>
        </w:tc>
        <w:tc>
          <w:tcPr>
            <w:tcW w:w="1260" w:type="dxa"/>
            <w:tcBorders>
              <w:top w:val="double" w:sz="4" w:space="0" w:color="auto"/>
              <w:right w:val="double" w:sz="4" w:space="0" w:color="auto"/>
            </w:tcBorders>
            <w:vAlign w:val="center"/>
          </w:tcPr>
          <w:p w14:paraId="3740FF46" w14:textId="77777777" w:rsidR="00E465D0" w:rsidRPr="00E465D0" w:rsidRDefault="00E465D0" w:rsidP="00302827">
            <w:pPr>
              <w:rPr>
                <w:sz w:val="18"/>
                <w:szCs w:val="18"/>
              </w:rPr>
            </w:pPr>
            <w:r w:rsidRPr="00E465D0">
              <w:rPr>
                <w:sz w:val="18"/>
                <w:szCs w:val="18"/>
              </w:rPr>
              <w:t>Categories</w:t>
            </w:r>
          </w:p>
        </w:tc>
        <w:tc>
          <w:tcPr>
            <w:tcW w:w="3746" w:type="dxa"/>
            <w:gridSpan w:val="5"/>
            <w:tcBorders>
              <w:top w:val="double" w:sz="4" w:space="0" w:color="auto"/>
              <w:left w:val="double" w:sz="4" w:space="0" w:color="auto"/>
              <w:right w:val="double" w:sz="4" w:space="0" w:color="auto"/>
            </w:tcBorders>
            <w:vAlign w:val="center"/>
          </w:tcPr>
          <w:p w14:paraId="538DE07E" w14:textId="77777777" w:rsidR="00E465D0" w:rsidRPr="00E465D0" w:rsidRDefault="00E465D0" w:rsidP="00302827">
            <w:pPr>
              <w:jc w:val="center"/>
              <w:rPr>
                <w:sz w:val="18"/>
                <w:szCs w:val="18"/>
              </w:rPr>
            </w:pPr>
            <w:r w:rsidRPr="00E465D0">
              <w:rPr>
                <w:sz w:val="20"/>
                <w:szCs w:val="20"/>
              </w:rPr>
              <w:t>0 vehicles</w:t>
            </w:r>
          </w:p>
        </w:tc>
        <w:tc>
          <w:tcPr>
            <w:tcW w:w="3747" w:type="dxa"/>
            <w:gridSpan w:val="6"/>
            <w:tcBorders>
              <w:top w:val="double" w:sz="4" w:space="0" w:color="auto"/>
              <w:left w:val="double" w:sz="4" w:space="0" w:color="auto"/>
              <w:right w:val="double" w:sz="4" w:space="0" w:color="auto"/>
            </w:tcBorders>
            <w:vAlign w:val="center"/>
          </w:tcPr>
          <w:p w14:paraId="04EA273B" w14:textId="77777777" w:rsidR="00E465D0" w:rsidRPr="00E465D0" w:rsidRDefault="00E465D0" w:rsidP="00302827">
            <w:pPr>
              <w:jc w:val="center"/>
              <w:rPr>
                <w:sz w:val="18"/>
                <w:szCs w:val="18"/>
              </w:rPr>
            </w:pPr>
            <w:r w:rsidRPr="00E465D0">
              <w:rPr>
                <w:sz w:val="20"/>
                <w:szCs w:val="20"/>
              </w:rPr>
              <w:t>1 or 2 vehicles</w:t>
            </w:r>
          </w:p>
        </w:tc>
        <w:tc>
          <w:tcPr>
            <w:tcW w:w="3747" w:type="dxa"/>
            <w:gridSpan w:val="5"/>
            <w:tcBorders>
              <w:top w:val="double" w:sz="4" w:space="0" w:color="auto"/>
              <w:left w:val="double" w:sz="4" w:space="0" w:color="auto"/>
              <w:right w:val="double" w:sz="4" w:space="0" w:color="auto"/>
            </w:tcBorders>
            <w:vAlign w:val="center"/>
          </w:tcPr>
          <w:p w14:paraId="25EFB3AA" w14:textId="77777777" w:rsidR="00E465D0" w:rsidRPr="00E465D0" w:rsidRDefault="00E465D0" w:rsidP="00302827">
            <w:pPr>
              <w:jc w:val="center"/>
              <w:rPr>
                <w:sz w:val="18"/>
                <w:szCs w:val="18"/>
              </w:rPr>
            </w:pPr>
            <w:r w:rsidRPr="00E465D0">
              <w:rPr>
                <w:sz w:val="20"/>
                <w:szCs w:val="20"/>
              </w:rPr>
              <w:t>3 or more vehicles</w:t>
            </w:r>
          </w:p>
        </w:tc>
      </w:tr>
      <w:tr w:rsidR="00E465D0" w:rsidRPr="00E465D0" w14:paraId="351BF13E"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71EDFD18" w14:textId="77777777" w:rsidR="00E465D0" w:rsidRPr="00E465D0" w:rsidRDefault="00E465D0" w:rsidP="00302827">
            <w:pPr>
              <w:jc w:val="center"/>
              <w:rPr>
                <w:sz w:val="18"/>
                <w:szCs w:val="18"/>
              </w:rPr>
            </w:pPr>
          </w:p>
        </w:tc>
        <w:tc>
          <w:tcPr>
            <w:tcW w:w="1260" w:type="dxa"/>
            <w:vMerge w:val="restart"/>
            <w:tcBorders>
              <w:right w:val="double" w:sz="4" w:space="0" w:color="auto"/>
            </w:tcBorders>
          </w:tcPr>
          <w:p w14:paraId="52136B24" w14:textId="77777777" w:rsidR="00E465D0" w:rsidRPr="00E465D0" w:rsidRDefault="00E465D0" w:rsidP="00302827">
            <w:pPr>
              <w:rPr>
                <w:sz w:val="18"/>
                <w:szCs w:val="18"/>
              </w:rPr>
            </w:pPr>
            <w:r w:rsidRPr="00E465D0">
              <w:rPr>
                <w:sz w:val="18"/>
                <w:szCs w:val="18"/>
              </w:rPr>
              <w:t>Nonwork Purpose</w:t>
            </w:r>
          </w:p>
        </w:tc>
        <w:tc>
          <w:tcPr>
            <w:tcW w:w="1873" w:type="dxa"/>
            <w:gridSpan w:val="3"/>
            <w:tcBorders>
              <w:left w:val="double" w:sz="4" w:space="0" w:color="auto"/>
              <w:right w:val="single" w:sz="12" w:space="0" w:color="auto"/>
            </w:tcBorders>
            <w:shd w:val="clear" w:color="auto" w:fill="D9D9D9" w:themeFill="background1" w:themeFillShade="D9"/>
            <w:vAlign w:val="bottom"/>
          </w:tcPr>
          <w:p w14:paraId="4E0233CC" w14:textId="77777777" w:rsidR="00E465D0" w:rsidRPr="00E465D0" w:rsidRDefault="00E465D0" w:rsidP="00302827">
            <w:pPr>
              <w:jc w:val="center"/>
              <w:rPr>
                <w:sz w:val="18"/>
                <w:szCs w:val="18"/>
              </w:rPr>
            </w:pPr>
            <w:r w:rsidRPr="00E465D0">
              <w:rPr>
                <w:sz w:val="18"/>
                <w:szCs w:val="18"/>
              </w:rPr>
              <w:t>Maintenance Stops</w:t>
            </w:r>
          </w:p>
        </w:tc>
        <w:tc>
          <w:tcPr>
            <w:tcW w:w="1873" w:type="dxa"/>
            <w:gridSpan w:val="2"/>
            <w:tcBorders>
              <w:left w:val="single" w:sz="12" w:space="0" w:color="auto"/>
              <w:right w:val="double" w:sz="4" w:space="0" w:color="auto"/>
            </w:tcBorders>
            <w:vAlign w:val="bottom"/>
          </w:tcPr>
          <w:p w14:paraId="4589EC48" w14:textId="77777777" w:rsidR="00E465D0" w:rsidRPr="00E465D0" w:rsidRDefault="00E465D0" w:rsidP="00302827">
            <w:pPr>
              <w:jc w:val="center"/>
              <w:rPr>
                <w:sz w:val="18"/>
                <w:szCs w:val="18"/>
              </w:rPr>
            </w:pPr>
            <w:r w:rsidRPr="00E465D0">
              <w:rPr>
                <w:sz w:val="18"/>
                <w:szCs w:val="18"/>
              </w:rPr>
              <w:t>Leisure Stops</w:t>
            </w:r>
          </w:p>
        </w:tc>
        <w:tc>
          <w:tcPr>
            <w:tcW w:w="1874" w:type="dxa"/>
            <w:gridSpan w:val="3"/>
            <w:tcBorders>
              <w:left w:val="double" w:sz="4" w:space="0" w:color="auto"/>
              <w:right w:val="single" w:sz="12" w:space="0" w:color="auto"/>
            </w:tcBorders>
            <w:shd w:val="clear" w:color="auto" w:fill="D9D9D9" w:themeFill="background1" w:themeFillShade="D9"/>
            <w:vAlign w:val="bottom"/>
          </w:tcPr>
          <w:p w14:paraId="573A5175" w14:textId="77777777" w:rsidR="00E465D0" w:rsidRPr="00E465D0" w:rsidRDefault="00E465D0" w:rsidP="00302827">
            <w:pPr>
              <w:jc w:val="center"/>
              <w:rPr>
                <w:sz w:val="18"/>
                <w:szCs w:val="18"/>
              </w:rPr>
            </w:pPr>
            <w:r w:rsidRPr="00E465D0">
              <w:rPr>
                <w:sz w:val="18"/>
                <w:szCs w:val="18"/>
              </w:rPr>
              <w:t>Maintenance Stops</w:t>
            </w:r>
          </w:p>
        </w:tc>
        <w:tc>
          <w:tcPr>
            <w:tcW w:w="1873" w:type="dxa"/>
            <w:gridSpan w:val="3"/>
            <w:tcBorders>
              <w:left w:val="single" w:sz="12" w:space="0" w:color="auto"/>
              <w:right w:val="double" w:sz="4" w:space="0" w:color="auto"/>
            </w:tcBorders>
            <w:vAlign w:val="bottom"/>
          </w:tcPr>
          <w:p w14:paraId="7353E465" w14:textId="0EA67C99" w:rsidR="00E465D0" w:rsidRPr="00E465D0" w:rsidRDefault="006F36BE" w:rsidP="00302827">
            <w:pPr>
              <w:jc w:val="center"/>
              <w:rPr>
                <w:sz w:val="18"/>
                <w:szCs w:val="18"/>
              </w:rPr>
            </w:pPr>
            <w:r>
              <w:rPr>
                <w:sz w:val="18"/>
                <w:szCs w:val="18"/>
              </w:rPr>
              <w:t>Leisure</w:t>
            </w:r>
            <w:r w:rsidR="00E465D0" w:rsidRPr="00E465D0">
              <w:rPr>
                <w:sz w:val="18"/>
                <w:szCs w:val="18"/>
              </w:rPr>
              <w:t xml:space="preserve"> Stops</w:t>
            </w:r>
          </w:p>
        </w:tc>
        <w:tc>
          <w:tcPr>
            <w:tcW w:w="1873" w:type="dxa"/>
            <w:gridSpan w:val="2"/>
            <w:tcBorders>
              <w:left w:val="double" w:sz="4" w:space="0" w:color="auto"/>
              <w:right w:val="single" w:sz="12" w:space="0" w:color="auto"/>
            </w:tcBorders>
            <w:shd w:val="clear" w:color="auto" w:fill="D9D9D9" w:themeFill="background1" w:themeFillShade="D9"/>
            <w:vAlign w:val="bottom"/>
          </w:tcPr>
          <w:p w14:paraId="746DF04C" w14:textId="55C2343C" w:rsidR="00E465D0" w:rsidRPr="00E465D0" w:rsidRDefault="006F36BE" w:rsidP="00302827">
            <w:pPr>
              <w:jc w:val="center"/>
              <w:rPr>
                <w:sz w:val="18"/>
                <w:szCs w:val="18"/>
              </w:rPr>
            </w:pPr>
            <w:r>
              <w:rPr>
                <w:sz w:val="18"/>
                <w:szCs w:val="18"/>
              </w:rPr>
              <w:t>Maintenance</w:t>
            </w:r>
            <w:r w:rsidR="00E465D0" w:rsidRPr="00E465D0">
              <w:rPr>
                <w:sz w:val="18"/>
                <w:szCs w:val="18"/>
              </w:rPr>
              <w:t xml:space="preserve"> Stops</w:t>
            </w:r>
          </w:p>
        </w:tc>
        <w:tc>
          <w:tcPr>
            <w:tcW w:w="1874" w:type="dxa"/>
            <w:gridSpan w:val="3"/>
            <w:tcBorders>
              <w:left w:val="single" w:sz="12" w:space="0" w:color="auto"/>
              <w:right w:val="double" w:sz="4" w:space="0" w:color="auto"/>
            </w:tcBorders>
            <w:vAlign w:val="bottom"/>
          </w:tcPr>
          <w:p w14:paraId="38A88C52" w14:textId="039DBA4B" w:rsidR="00E465D0" w:rsidRPr="00E465D0" w:rsidRDefault="006F36BE" w:rsidP="00302827">
            <w:pPr>
              <w:jc w:val="center"/>
              <w:rPr>
                <w:sz w:val="18"/>
                <w:szCs w:val="18"/>
              </w:rPr>
            </w:pPr>
            <w:r>
              <w:rPr>
                <w:sz w:val="18"/>
                <w:szCs w:val="18"/>
              </w:rPr>
              <w:t>Leisure</w:t>
            </w:r>
            <w:r w:rsidR="00E465D0" w:rsidRPr="00E465D0">
              <w:rPr>
                <w:sz w:val="18"/>
                <w:szCs w:val="18"/>
              </w:rPr>
              <w:t xml:space="preserve"> Stops</w:t>
            </w:r>
          </w:p>
        </w:tc>
      </w:tr>
      <w:tr w:rsidR="00E465D0" w:rsidRPr="00E465D0" w14:paraId="578ADE10"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C02ADFF" w14:textId="77777777" w:rsidR="00E465D0" w:rsidRPr="00E465D0" w:rsidRDefault="00E465D0" w:rsidP="00302827">
            <w:pPr>
              <w:jc w:val="center"/>
              <w:rPr>
                <w:sz w:val="20"/>
                <w:szCs w:val="20"/>
              </w:rPr>
            </w:pPr>
          </w:p>
        </w:tc>
        <w:tc>
          <w:tcPr>
            <w:tcW w:w="1260" w:type="dxa"/>
            <w:vMerge/>
            <w:tcBorders>
              <w:bottom w:val="single" w:sz="12" w:space="0" w:color="auto"/>
              <w:right w:val="double" w:sz="4" w:space="0" w:color="auto"/>
            </w:tcBorders>
          </w:tcPr>
          <w:p w14:paraId="5DD9B446" w14:textId="77777777" w:rsidR="00E465D0" w:rsidRPr="00E465D0" w:rsidRDefault="00E465D0" w:rsidP="00302827">
            <w:pPr>
              <w:rPr>
                <w:sz w:val="18"/>
                <w:szCs w:val="18"/>
              </w:rPr>
            </w:pPr>
          </w:p>
        </w:tc>
        <w:tc>
          <w:tcPr>
            <w:tcW w:w="936" w:type="dxa"/>
            <w:tcBorders>
              <w:left w:val="double" w:sz="4" w:space="0" w:color="auto"/>
              <w:bottom w:val="single" w:sz="12" w:space="0" w:color="auto"/>
            </w:tcBorders>
            <w:shd w:val="clear" w:color="auto" w:fill="D9D9D9" w:themeFill="background1" w:themeFillShade="D9"/>
            <w:vAlign w:val="bottom"/>
          </w:tcPr>
          <w:p w14:paraId="03E5DAD1" w14:textId="77777777" w:rsidR="00E465D0" w:rsidRPr="00E465D0" w:rsidRDefault="00E465D0" w:rsidP="00302827">
            <w:pPr>
              <w:jc w:val="center"/>
              <w:rPr>
                <w:sz w:val="18"/>
                <w:szCs w:val="18"/>
              </w:rPr>
            </w:pPr>
            <w:r w:rsidRPr="00E465D0">
              <w:rPr>
                <w:sz w:val="18"/>
                <w:szCs w:val="18"/>
              </w:rPr>
              <w:t>Expected Number of Stops</w:t>
            </w:r>
          </w:p>
        </w:tc>
        <w:tc>
          <w:tcPr>
            <w:tcW w:w="937" w:type="dxa"/>
            <w:gridSpan w:val="2"/>
            <w:tcBorders>
              <w:bottom w:val="single" w:sz="12" w:space="0" w:color="auto"/>
              <w:right w:val="single" w:sz="12" w:space="0" w:color="auto"/>
            </w:tcBorders>
            <w:shd w:val="clear" w:color="auto" w:fill="D9D9D9" w:themeFill="background1" w:themeFillShade="D9"/>
          </w:tcPr>
          <w:p w14:paraId="2408414B"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12" w:space="0" w:color="auto"/>
              <w:bottom w:val="single" w:sz="12" w:space="0" w:color="auto"/>
            </w:tcBorders>
            <w:vAlign w:val="bottom"/>
          </w:tcPr>
          <w:p w14:paraId="6BBDAB04"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double" w:sz="4" w:space="0" w:color="auto"/>
            </w:tcBorders>
            <w:vAlign w:val="bottom"/>
          </w:tcPr>
          <w:p w14:paraId="6656B14F" w14:textId="77777777" w:rsidR="00E465D0" w:rsidRPr="00E465D0" w:rsidRDefault="00E465D0" w:rsidP="00302827">
            <w:pPr>
              <w:jc w:val="center"/>
              <w:rPr>
                <w:sz w:val="18"/>
                <w:szCs w:val="18"/>
              </w:rPr>
            </w:pPr>
            <w:r w:rsidRPr="00E465D0">
              <w:rPr>
                <w:sz w:val="18"/>
                <w:szCs w:val="18"/>
              </w:rPr>
              <w:t>Expected Number of Stops</w:t>
            </w:r>
          </w:p>
        </w:tc>
        <w:tc>
          <w:tcPr>
            <w:tcW w:w="937" w:type="dxa"/>
            <w:gridSpan w:val="2"/>
            <w:tcBorders>
              <w:left w:val="double" w:sz="4" w:space="0" w:color="auto"/>
              <w:bottom w:val="single" w:sz="12" w:space="0" w:color="auto"/>
              <w:right w:val="single" w:sz="4" w:space="0" w:color="auto"/>
            </w:tcBorders>
            <w:shd w:val="clear" w:color="auto" w:fill="D9D9D9" w:themeFill="background1" w:themeFillShade="D9"/>
          </w:tcPr>
          <w:p w14:paraId="26DD2374"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4" w:space="0" w:color="auto"/>
              <w:bottom w:val="single" w:sz="12" w:space="0" w:color="auto"/>
              <w:right w:val="single" w:sz="12" w:space="0" w:color="auto"/>
            </w:tcBorders>
            <w:shd w:val="clear" w:color="auto" w:fill="D9D9D9" w:themeFill="background1" w:themeFillShade="D9"/>
            <w:vAlign w:val="bottom"/>
          </w:tcPr>
          <w:p w14:paraId="0CA5E75F"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left w:val="single" w:sz="12" w:space="0" w:color="auto"/>
              <w:bottom w:val="single" w:sz="12" w:space="0" w:color="auto"/>
              <w:right w:val="single" w:sz="4" w:space="0" w:color="auto"/>
            </w:tcBorders>
            <w:vAlign w:val="bottom"/>
          </w:tcPr>
          <w:p w14:paraId="53A9CCE6" w14:textId="77777777" w:rsidR="00E465D0" w:rsidRPr="00E465D0" w:rsidRDefault="00E465D0" w:rsidP="00302827">
            <w:pPr>
              <w:jc w:val="center"/>
              <w:rPr>
                <w:sz w:val="18"/>
                <w:szCs w:val="18"/>
              </w:rPr>
            </w:pPr>
            <w:r w:rsidRPr="00E465D0">
              <w:rPr>
                <w:sz w:val="18"/>
                <w:szCs w:val="18"/>
              </w:rPr>
              <w:t>Expected Number of Stops</w:t>
            </w:r>
          </w:p>
        </w:tc>
        <w:tc>
          <w:tcPr>
            <w:tcW w:w="937" w:type="dxa"/>
            <w:gridSpan w:val="2"/>
            <w:tcBorders>
              <w:left w:val="single" w:sz="4" w:space="0" w:color="auto"/>
              <w:bottom w:val="single" w:sz="12" w:space="0" w:color="auto"/>
              <w:right w:val="double" w:sz="4" w:space="0" w:color="auto"/>
            </w:tcBorders>
          </w:tcPr>
          <w:p w14:paraId="342685E5"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double" w:sz="4" w:space="0" w:color="auto"/>
              <w:bottom w:val="single" w:sz="12" w:space="0" w:color="auto"/>
            </w:tcBorders>
            <w:shd w:val="clear" w:color="auto" w:fill="D9D9D9" w:themeFill="background1" w:themeFillShade="D9"/>
            <w:vAlign w:val="bottom"/>
          </w:tcPr>
          <w:p w14:paraId="44EB8313" w14:textId="77777777" w:rsidR="00E465D0" w:rsidRPr="00E465D0" w:rsidRDefault="00E465D0" w:rsidP="00302827">
            <w:pPr>
              <w:jc w:val="center"/>
              <w:rPr>
                <w:sz w:val="18"/>
                <w:szCs w:val="18"/>
              </w:rPr>
            </w:pPr>
            <w:r w:rsidRPr="00E465D0">
              <w:rPr>
                <w:sz w:val="18"/>
                <w:szCs w:val="18"/>
              </w:rPr>
              <w:t>Expected Number of Stops</w:t>
            </w:r>
          </w:p>
        </w:tc>
        <w:tc>
          <w:tcPr>
            <w:tcW w:w="936" w:type="dxa"/>
            <w:tcBorders>
              <w:bottom w:val="single" w:sz="12" w:space="0" w:color="auto"/>
              <w:right w:val="single" w:sz="12" w:space="0" w:color="auto"/>
            </w:tcBorders>
            <w:shd w:val="clear" w:color="auto" w:fill="D9D9D9" w:themeFill="background1" w:themeFillShade="D9"/>
            <w:vAlign w:val="bottom"/>
          </w:tcPr>
          <w:p w14:paraId="1A10446D" w14:textId="77777777" w:rsidR="00E465D0" w:rsidRPr="00E465D0" w:rsidRDefault="00E465D0" w:rsidP="00302827">
            <w:pPr>
              <w:jc w:val="center"/>
              <w:rPr>
                <w:sz w:val="18"/>
                <w:szCs w:val="18"/>
              </w:rPr>
            </w:pPr>
            <w:r w:rsidRPr="00E465D0">
              <w:rPr>
                <w:sz w:val="18"/>
                <w:szCs w:val="18"/>
              </w:rPr>
              <w:t>Expected Number of Stops</w:t>
            </w:r>
          </w:p>
        </w:tc>
        <w:tc>
          <w:tcPr>
            <w:tcW w:w="937" w:type="dxa"/>
            <w:gridSpan w:val="2"/>
            <w:tcBorders>
              <w:left w:val="single" w:sz="12" w:space="0" w:color="auto"/>
              <w:bottom w:val="single" w:sz="12" w:space="0" w:color="auto"/>
              <w:right w:val="single" w:sz="4" w:space="0" w:color="auto"/>
            </w:tcBorders>
          </w:tcPr>
          <w:p w14:paraId="7D1DB8E0" w14:textId="77777777" w:rsidR="00E465D0" w:rsidRPr="00E465D0" w:rsidRDefault="00E465D0" w:rsidP="00302827">
            <w:pPr>
              <w:jc w:val="center"/>
              <w:rPr>
                <w:sz w:val="18"/>
                <w:szCs w:val="18"/>
              </w:rPr>
            </w:pPr>
            <w:r w:rsidRPr="00E465D0">
              <w:rPr>
                <w:sz w:val="18"/>
                <w:szCs w:val="18"/>
              </w:rPr>
              <w:t>% Change from “Never” Teleworking</w:t>
            </w:r>
          </w:p>
        </w:tc>
        <w:tc>
          <w:tcPr>
            <w:tcW w:w="937" w:type="dxa"/>
            <w:tcBorders>
              <w:left w:val="single" w:sz="4" w:space="0" w:color="auto"/>
              <w:bottom w:val="single" w:sz="12" w:space="0" w:color="auto"/>
              <w:right w:val="double" w:sz="4" w:space="0" w:color="auto"/>
            </w:tcBorders>
            <w:vAlign w:val="bottom"/>
          </w:tcPr>
          <w:p w14:paraId="784A5AD0" w14:textId="77777777" w:rsidR="00E465D0" w:rsidRPr="00E465D0" w:rsidRDefault="00E465D0" w:rsidP="00302827">
            <w:pPr>
              <w:jc w:val="center"/>
              <w:rPr>
                <w:sz w:val="18"/>
                <w:szCs w:val="18"/>
              </w:rPr>
            </w:pPr>
            <w:r w:rsidRPr="00E465D0">
              <w:rPr>
                <w:sz w:val="18"/>
                <w:szCs w:val="18"/>
              </w:rPr>
              <w:t>Expected Number of Stops</w:t>
            </w:r>
          </w:p>
        </w:tc>
      </w:tr>
      <w:tr w:rsidR="00F03774" w:rsidRPr="00E465D0" w14:paraId="5447F9BA"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0575F970" w14:textId="77777777" w:rsidR="00F03774" w:rsidRPr="00E465D0" w:rsidRDefault="00F03774" w:rsidP="00F03774">
            <w:pPr>
              <w:jc w:val="center"/>
              <w:rPr>
                <w:sz w:val="20"/>
                <w:szCs w:val="20"/>
              </w:rPr>
            </w:pPr>
          </w:p>
        </w:tc>
        <w:tc>
          <w:tcPr>
            <w:tcW w:w="1260" w:type="dxa"/>
            <w:tcBorders>
              <w:top w:val="single" w:sz="12" w:space="0" w:color="auto"/>
              <w:right w:val="double" w:sz="4" w:space="0" w:color="auto"/>
            </w:tcBorders>
          </w:tcPr>
          <w:p w14:paraId="19EEE733" w14:textId="77777777" w:rsidR="00F03774" w:rsidRPr="00E465D0" w:rsidRDefault="00F03774" w:rsidP="00F03774">
            <w:pPr>
              <w:rPr>
                <w:sz w:val="18"/>
                <w:szCs w:val="18"/>
              </w:rPr>
            </w:pPr>
            <w:r w:rsidRPr="00E465D0">
              <w:rPr>
                <w:sz w:val="18"/>
                <w:szCs w:val="18"/>
              </w:rPr>
              <w:t>Never</w:t>
            </w:r>
          </w:p>
        </w:tc>
        <w:tc>
          <w:tcPr>
            <w:tcW w:w="936" w:type="dxa"/>
            <w:tcBorders>
              <w:top w:val="single" w:sz="12" w:space="0" w:color="auto"/>
              <w:left w:val="double" w:sz="4" w:space="0" w:color="auto"/>
            </w:tcBorders>
            <w:shd w:val="clear" w:color="auto" w:fill="D9D9D9" w:themeFill="background1" w:themeFillShade="D9"/>
            <w:vAlign w:val="bottom"/>
          </w:tcPr>
          <w:p w14:paraId="7D285B20" w14:textId="60630FB2" w:rsidR="00F03774" w:rsidRPr="005D4542" w:rsidRDefault="00F03774" w:rsidP="00F03774">
            <w:pPr>
              <w:jc w:val="right"/>
              <w:rPr>
                <w:sz w:val="22"/>
                <w:szCs w:val="22"/>
              </w:rPr>
            </w:pPr>
            <w:r w:rsidRPr="005D4542">
              <w:rPr>
                <w:sz w:val="22"/>
                <w:szCs w:val="22"/>
              </w:rPr>
              <w:t>2.19</w:t>
            </w:r>
          </w:p>
        </w:tc>
        <w:tc>
          <w:tcPr>
            <w:tcW w:w="937" w:type="dxa"/>
            <w:gridSpan w:val="2"/>
            <w:tcBorders>
              <w:top w:val="single" w:sz="12" w:space="0" w:color="auto"/>
              <w:right w:val="single" w:sz="12" w:space="0" w:color="auto"/>
            </w:tcBorders>
            <w:shd w:val="clear" w:color="auto" w:fill="D9D9D9" w:themeFill="background1" w:themeFillShade="D9"/>
            <w:vAlign w:val="bottom"/>
          </w:tcPr>
          <w:p w14:paraId="103CE565" w14:textId="57229C92" w:rsidR="00F03774" w:rsidRPr="005D4542" w:rsidRDefault="00F03774" w:rsidP="00F03774">
            <w:pPr>
              <w:jc w:val="right"/>
              <w:rPr>
                <w:sz w:val="22"/>
                <w:szCs w:val="22"/>
              </w:rPr>
            </w:pPr>
            <w:r w:rsidRPr="005D4542">
              <w:rPr>
                <w:sz w:val="22"/>
                <w:szCs w:val="22"/>
              </w:rPr>
              <w:t>--</w:t>
            </w:r>
          </w:p>
        </w:tc>
        <w:tc>
          <w:tcPr>
            <w:tcW w:w="937" w:type="dxa"/>
            <w:tcBorders>
              <w:top w:val="single" w:sz="12" w:space="0" w:color="auto"/>
              <w:left w:val="single" w:sz="12" w:space="0" w:color="auto"/>
            </w:tcBorders>
            <w:vAlign w:val="bottom"/>
          </w:tcPr>
          <w:p w14:paraId="0B391675" w14:textId="78E0617F" w:rsidR="00F03774" w:rsidRPr="005D4542" w:rsidRDefault="00F03774" w:rsidP="00F03774">
            <w:pPr>
              <w:jc w:val="right"/>
              <w:rPr>
                <w:sz w:val="22"/>
                <w:szCs w:val="22"/>
              </w:rPr>
            </w:pPr>
            <w:r w:rsidRPr="005D4542">
              <w:rPr>
                <w:sz w:val="22"/>
                <w:szCs w:val="22"/>
              </w:rPr>
              <w:t>2.93</w:t>
            </w:r>
          </w:p>
        </w:tc>
        <w:tc>
          <w:tcPr>
            <w:tcW w:w="936" w:type="dxa"/>
            <w:tcBorders>
              <w:top w:val="single" w:sz="12" w:space="0" w:color="auto"/>
              <w:right w:val="double" w:sz="4" w:space="0" w:color="auto"/>
            </w:tcBorders>
            <w:vAlign w:val="bottom"/>
          </w:tcPr>
          <w:p w14:paraId="281F33EA" w14:textId="22129642" w:rsidR="00F03774" w:rsidRPr="005D4542" w:rsidRDefault="00F03774" w:rsidP="00F03774">
            <w:pPr>
              <w:jc w:val="right"/>
              <w:rPr>
                <w:sz w:val="22"/>
                <w:szCs w:val="22"/>
              </w:rPr>
            </w:pPr>
            <w:r w:rsidRPr="005D4542">
              <w:rPr>
                <w:sz w:val="22"/>
                <w:szCs w:val="22"/>
              </w:rPr>
              <w:t>--</w:t>
            </w:r>
          </w:p>
        </w:tc>
        <w:tc>
          <w:tcPr>
            <w:tcW w:w="937" w:type="dxa"/>
            <w:gridSpan w:val="2"/>
            <w:tcBorders>
              <w:top w:val="single" w:sz="12" w:space="0" w:color="auto"/>
              <w:left w:val="double" w:sz="4" w:space="0" w:color="auto"/>
              <w:right w:val="single" w:sz="4" w:space="0" w:color="auto"/>
            </w:tcBorders>
            <w:shd w:val="clear" w:color="auto" w:fill="D9D9D9" w:themeFill="background1" w:themeFillShade="D9"/>
            <w:vAlign w:val="bottom"/>
          </w:tcPr>
          <w:p w14:paraId="50174E55" w14:textId="2FED767F" w:rsidR="00F03774" w:rsidRPr="005D4542" w:rsidRDefault="00F03774" w:rsidP="00F03774">
            <w:pPr>
              <w:jc w:val="right"/>
              <w:rPr>
                <w:sz w:val="22"/>
                <w:szCs w:val="22"/>
              </w:rPr>
            </w:pPr>
            <w:r w:rsidRPr="005D4542">
              <w:rPr>
                <w:sz w:val="22"/>
                <w:szCs w:val="22"/>
              </w:rPr>
              <w:t>3.94</w:t>
            </w:r>
          </w:p>
        </w:tc>
        <w:tc>
          <w:tcPr>
            <w:tcW w:w="937" w:type="dxa"/>
            <w:tcBorders>
              <w:top w:val="single" w:sz="12" w:space="0" w:color="auto"/>
              <w:left w:val="single" w:sz="4" w:space="0" w:color="auto"/>
              <w:right w:val="single" w:sz="12" w:space="0" w:color="auto"/>
            </w:tcBorders>
            <w:shd w:val="clear" w:color="auto" w:fill="D9D9D9" w:themeFill="background1" w:themeFillShade="D9"/>
            <w:vAlign w:val="bottom"/>
          </w:tcPr>
          <w:p w14:paraId="2924E0CE" w14:textId="2933343B" w:rsidR="00F03774" w:rsidRPr="005D4542" w:rsidRDefault="00F03774" w:rsidP="00F03774">
            <w:pPr>
              <w:jc w:val="right"/>
              <w:rPr>
                <w:sz w:val="22"/>
                <w:szCs w:val="22"/>
              </w:rPr>
            </w:pPr>
            <w:r w:rsidRPr="005D4542">
              <w:rPr>
                <w:sz w:val="22"/>
                <w:szCs w:val="22"/>
              </w:rPr>
              <w:t>--</w:t>
            </w:r>
          </w:p>
        </w:tc>
        <w:tc>
          <w:tcPr>
            <w:tcW w:w="936" w:type="dxa"/>
            <w:tcBorders>
              <w:top w:val="single" w:sz="12" w:space="0" w:color="auto"/>
              <w:left w:val="single" w:sz="12" w:space="0" w:color="auto"/>
              <w:right w:val="single" w:sz="4" w:space="0" w:color="auto"/>
            </w:tcBorders>
            <w:vAlign w:val="bottom"/>
          </w:tcPr>
          <w:p w14:paraId="06D11515" w14:textId="1BD69B9D" w:rsidR="00F03774" w:rsidRPr="005D4542" w:rsidRDefault="00F03774" w:rsidP="00F03774">
            <w:pPr>
              <w:jc w:val="right"/>
              <w:rPr>
                <w:sz w:val="22"/>
                <w:szCs w:val="22"/>
              </w:rPr>
            </w:pPr>
            <w:r w:rsidRPr="005D4542">
              <w:rPr>
                <w:sz w:val="22"/>
                <w:szCs w:val="22"/>
              </w:rPr>
              <w:t>5.28</w:t>
            </w:r>
          </w:p>
        </w:tc>
        <w:tc>
          <w:tcPr>
            <w:tcW w:w="937" w:type="dxa"/>
            <w:gridSpan w:val="2"/>
            <w:tcBorders>
              <w:top w:val="single" w:sz="12" w:space="0" w:color="auto"/>
              <w:left w:val="single" w:sz="4" w:space="0" w:color="auto"/>
              <w:right w:val="double" w:sz="4" w:space="0" w:color="auto"/>
            </w:tcBorders>
            <w:vAlign w:val="bottom"/>
          </w:tcPr>
          <w:p w14:paraId="1E227CBB" w14:textId="4BFBF3EC" w:rsidR="00F03774" w:rsidRPr="005D4542" w:rsidRDefault="00F03774" w:rsidP="00F03774">
            <w:pPr>
              <w:jc w:val="right"/>
              <w:rPr>
                <w:sz w:val="22"/>
                <w:szCs w:val="22"/>
              </w:rPr>
            </w:pPr>
            <w:r w:rsidRPr="005D4542">
              <w:rPr>
                <w:sz w:val="22"/>
                <w:szCs w:val="22"/>
              </w:rPr>
              <w:t>--</w:t>
            </w:r>
          </w:p>
        </w:tc>
        <w:tc>
          <w:tcPr>
            <w:tcW w:w="937" w:type="dxa"/>
            <w:tcBorders>
              <w:top w:val="single" w:sz="12" w:space="0" w:color="auto"/>
              <w:left w:val="double" w:sz="4" w:space="0" w:color="auto"/>
            </w:tcBorders>
            <w:shd w:val="clear" w:color="auto" w:fill="D9D9D9" w:themeFill="background1" w:themeFillShade="D9"/>
            <w:vAlign w:val="bottom"/>
          </w:tcPr>
          <w:p w14:paraId="2C17CAF5" w14:textId="1AE74C24" w:rsidR="00F03774" w:rsidRPr="005D4542" w:rsidRDefault="00F03774" w:rsidP="00F03774">
            <w:pPr>
              <w:jc w:val="right"/>
              <w:rPr>
                <w:sz w:val="22"/>
                <w:szCs w:val="22"/>
              </w:rPr>
            </w:pPr>
            <w:r w:rsidRPr="005D4542">
              <w:rPr>
                <w:sz w:val="22"/>
                <w:szCs w:val="22"/>
              </w:rPr>
              <w:t>3.94</w:t>
            </w:r>
          </w:p>
        </w:tc>
        <w:tc>
          <w:tcPr>
            <w:tcW w:w="936" w:type="dxa"/>
            <w:tcBorders>
              <w:top w:val="single" w:sz="12" w:space="0" w:color="auto"/>
              <w:right w:val="single" w:sz="12" w:space="0" w:color="auto"/>
            </w:tcBorders>
            <w:shd w:val="clear" w:color="auto" w:fill="D9D9D9" w:themeFill="background1" w:themeFillShade="D9"/>
            <w:vAlign w:val="bottom"/>
          </w:tcPr>
          <w:p w14:paraId="27D1D540" w14:textId="360CE7FE" w:rsidR="00F03774" w:rsidRPr="005D4542" w:rsidRDefault="00F03774" w:rsidP="00F03774">
            <w:pPr>
              <w:jc w:val="right"/>
              <w:rPr>
                <w:sz w:val="22"/>
                <w:szCs w:val="22"/>
              </w:rPr>
            </w:pPr>
            <w:r w:rsidRPr="005D4542">
              <w:rPr>
                <w:sz w:val="22"/>
                <w:szCs w:val="22"/>
              </w:rPr>
              <w:t>--</w:t>
            </w:r>
          </w:p>
        </w:tc>
        <w:tc>
          <w:tcPr>
            <w:tcW w:w="937" w:type="dxa"/>
            <w:gridSpan w:val="2"/>
            <w:tcBorders>
              <w:top w:val="single" w:sz="12" w:space="0" w:color="auto"/>
              <w:left w:val="single" w:sz="12" w:space="0" w:color="auto"/>
              <w:right w:val="single" w:sz="4" w:space="0" w:color="auto"/>
            </w:tcBorders>
            <w:vAlign w:val="bottom"/>
          </w:tcPr>
          <w:p w14:paraId="37EEAD3A" w14:textId="5A6BB18B" w:rsidR="00F03774" w:rsidRPr="005D4542" w:rsidRDefault="00F03774" w:rsidP="00F03774">
            <w:pPr>
              <w:jc w:val="right"/>
              <w:rPr>
                <w:sz w:val="22"/>
                <w:szCs w:val="22"/>
              </w:rPr>
            </w:pPr>
            <w:r w:rsidRPr="005D4542">
              <w:rPr>
                <w:sz w:val="22"/>
                <w:szCs w:val="22"/>
              </w:rPr>
              <w:t>5.31</w:t>
            </w:r>
          </w:p>
        </w:tc>
        <w:tc>
          <w:tcPr>
            <w:tcW w:w="937" w:type="dxa"/>
            <w:tcBorders>
              <w:top w:val="single" w:sz="12" w:space="0" w:color="auto"/>
              <w:left w:val="single" w:sz="4" w:space="0" w:color="auto"/>
              <w:right w:val="double" w:sz="4" w:space="0" w:color="auto"/>
            </w:tcBorders>
            <w:vAlign w:val="bottom"/>
          </w:tcPr>
          <w:p w14:paraId="5A784DA8" w14:textId="06D7B33C" w:rsidR="00F03774" w:rsidRPr="005D4542" w:rsidRDefault="00F03774" w:rsidP="00F03774">
            <w:pPr>
              <w:jc w:val="right"/>
              <w:rPr>
                <w:sz w:val="22"/>
                <w:szCs w:val="22"/>
              </w:rPr>
            </w:pPr>
            <w:r w:rsidRPr="005D4542">
              <w:rPr>
                <w:sz w:val="22"/>
                <w:szCs w:val="22"/>
              </w:rPr>
              <w:t>--</w:t>
            </w:r>
          </w:p>
        </w:tc>
      </w:tr>
      <w:tr w:rsidR="00F03774" w:rsidRPr="00E465D0" w14:paraId="15474F86"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68442A49" w14:textId="77777777" w:rsidR="00F03774" w:rsidRPr="00E465D0" w:rsidRDefault="00F03774" w:rsidP="00F03774">
            <w:pPr>
              <w:jc w:val="center"/>
              <w:rPr>
                <w:sz w:val="20"/>
                <w:szCs w:val="20"/>
              </w:rPr>
            </w:pPr>
          </w:p>
        </w:tc>
        <w:tc>
          <w:tcPr>
            <w:tcW w:w="1260" w:type="dxa"/>
            <w:tcBorders>
              <w:right w:val="double" w:sz="4" w:space="0" w:color="auto"/>
            </w:tcBorders>
          </w:tcPr>
          <w:p w14:paraId="1A172AEF" w14:textId="77777777" w:rsidR="00F03774" w:rsidRPr="00E465D0" w:rsidRDefault="00F03774" w:rsidP="00F03774">
            <w:pPr>
              <w:rPr>
                <w:sz w:val="18"/>
                <w:szCs w:val="18"/>
              </w:rPr>
            </w:pPr>
            <w:r w:rsidRPr="00E465D0">
              <w:rPr>
                <w:sz w:val="18"/>
                <w:szCs w:val="18"/>
              </w:rPr>
              <w:t>&lt; Monthly</w:t>
            </w:r>
          </w:p>
        </w:tc>
        <w:tc>
          <w:tcPr>
            <w:tcW w:w="936" w:type="dxa"/>
            <w:tcBorders>
              <w:left w:val="double" w:sz="4" w:space="0" w:color="auto"/>
            </w:tcBorders>
            <w:shd w:val="clear" w:color="auto" w:fill="D9D9D9" w:themeFill="background1" w:themeFillShade="D9"/>
            <w:vAlign w:val="bottom"/>
          </w:tcPr>
          <w:p w14:paraId="05D6C255" w14:textId="56849E4E" w:rsidR="00F03774" w:rsidRPr="005D4542" w:rsidRDefault="00F03774" w:rsidP="00F03774">
            <w:pPr>
              <w:jc w:val="right"/>
              <w:rPr>
                <w:sz w:val="22"/>
                <w:szCs w:val="22"/>
              </w:rPr>
            </w:pPr>
            <w:r w:rsidRPr="005D4542">
              <w:rPr>
                <w:sz w:val="22"/>
                <w:szCs w:val="22"/>
              </w:rPr>
              <w:t>2.14</w:t>
            </w:r>
          </w:p>
        </w:tc>
        <w:tc>
          <w:tcPr>
            <w:tcW w:w="937" w:type="dxa"/>
            <w:gridSpan w:val="2"/>
            <w:tcBorders>
              <w:right w:val="single" w:sz="12" w:space="0" w:color="auto"/>
            </w:tcBorders>
            <w:shd w:val="clear" w:color="auto" w:fill="D9D9D9" w:themeFill="background1" w:themeFillShade="D9"/>
            <w:vAlign w:val="bottom"/>
          </w:tcPr>
          <w:p w14:paraId="1AE9F080" w14:textId="542DD2C1" w:rsidR="00F03774" w:rsidRPr="005D4542" w:rsidRDefault="00F03774" w:rsidP="00F03774">
            <w:pPr>
              <w:jc w:val="right"/>
              <w:rPr>
                <w:sz w:val="22"/>
                <w:szCs w:val="22"/>
              </w:rPr>
            </w:pPr>
            <w:r w:rsidRPr="005D4542">
              <w:rPr>
                <w:sz w:val="22"/>
                <w:szCs w:val="22"/>
              </w:rPr>
              <w:t>-2.1</w:t>
            </w:r>
          </w:p>
        </w:tc>
        <w:tc>
          <w:tcPr>
            <w:tcW w:w="937" w:type="dxa"/>
            <w:tcBorders>
              <w:left w:val="single" w:sz="12" w:space="0" w:color="auto"/>
            </w:tcBorders>
            <w:vAlign w:val="bottom"/>
          </w:tcPr>
          <w:p w14:paraId="1BBC2C21" w14:textId="48DEBB72" w:rsidR="00F03774" w:rsidRPr="005D4542" w:rsidRDefault="00F03774" w:rsidP="00F03774">
            <w:pPr>
              <w:jc w:val="right"/>
              <w:rPr>
                <w:sz w:val="22"/>
                <w:szCs w:val="22"/>
              </w:rPr>
            </w:pPr>
            <w:r w:rsidRPr="005D4542">
              <w:rPr>
                <w:sz w:val="22"/>
                <w:szCs w:val="22"/>
              </w:rPr>
              <w:t>2.80</w:t>
            </w:r>
          </w:p>
        </w:tc>
        <w:tc>
          <w:tcPr>
            <w:tcW w:w="936" w:type="dxa"/>
            <w:tcBorders>
              <w:right w:val="double" w:sz="4" w:space="0" w:color="auto"/>
            </w:tcBorders>
            <w:vAlign w:val="bottom"/>
          </w:tcPr>
          <w:p w14:paraId="1CF5A85C" w14:textId="154B93AA" w:rsidR="00F03774" w:rsidRPr="005D4542" w:rsidRDefault="00F03774" w:rsidP="00F03774">
            <w:pPr>
              <w:jc w:val="right"/>
              <w:rPr>
                <w:sz w:val="22"/>
                <w:szCs w:val="22"/>
              </w:rPr>
            </w:pPr>
            <w:r w:rsidRPr="005D4542">
              <w:rPr>
                <w:sz w:val="22"/>
                <w:szCs w:val="22"/>
              </w:rPr>
              <w:t>-4.7</w:t>
            </w:r>
          </w:p>
        </w:tc>
        <w:tc>
          <w:tcPr>
            <w:tcW w:w="937" w:type="dxa"/>
            <w:gridSpan w:val="2"/>
            <w:tcBorders>
              <w:left w:val="double" w:sz="4" w:space="0" w:color="auto"/>
              <w:right w:val="single" w:sz="4" w:space="0" w:color="auto"/>
            </w:tcBorders>
            <w:shd w:val="clear" w:color="auto" w:fill="D9D9D9" w:themeFill="background1" w:themeFillShade="D9"/>
            <w:vAlign w:val="bottom"/>
          </w:tcPr>
          <w:p w14:paraId="17489802" w14:textId="53D5CF97" w:rsidR="00F03774" w:rsidRPr="005D4542" w:rsidRDefault="00F03774" w:rsidP="00F03774">
            <w:pPr>
              <w:jc w:val="right"/>
              <w:rPr>
                <w:sz w:val="22"/>
                <w:szCs w:val="22"/>
              </w:rPr>
            </w:pPr>
            <w:r w:rsidRPr="005D4542">
              <w:rPr>
                <w:sz w:val="22"/>
                <w:szCs w:val="22"/>
              </w:rPr>
              <w:t>3.86</w:t>
            </w:r>
          </w:p>
        </w:tc>
        <w:tc>
          <w:tcPr>
            <w:tcW w:w="937" w:type="dxa"/>
            <w:tcBorders>
              <w:left w:val="single" w:sz="4" w:space="0" w:color="auto"/>
              <w:right w:val="single" w:sz="12" w:space="0" w:color="auto"/>
            </w:tcBorders>
            <w:shd w:val="clear" w:color="auto" w:fill="D9D9D9" w:themeFill="background1" w:themeFillShade="D9"/>
            <w:vAlign w:val="bottom"/>
          </w:tcPr>
          <w:p w14:paraId="56FC3C3F" w14:textId="578066DB" w:rsidR="00F03774" w:rsidRPr="005D4542" w:rsidRDefault="00F03774" w:rsidP="00F03774">
            <w:pPr>
              <w:jc w:val="right"/>
              <w:rPr>
                <w:sz w:val="22"/>
                <w:szCs w:val="22"/>
              </w:rPr>
            </w:pPr>
            <w:r w:rsidRPr="005D4542">
              <w:rPr>
                <w:sz w:val="22"/>
                <w:szCs w:val="22"/>
              </w:rPr>
              <w:t>-2.0</w:t>
            </w:r>
          </w:p>
        </w:tc>
        <w:tc>
          <w:tcPr>
            <w:tcW w:w="936" w:type="dxa"/>
            <w:tcBorders>
              <w:left w:val="single" w:sz="12" w:space="0" w:color="auto"/>
              <w:right w:val="single" w:sz="4" w:space="0" w:color="auto"/>
            </w:tcBorders>
            <w:vAlign w:val="bottom"/>
          </w:tcPr>
          <w:p w14:paraId="25A02D95" w14:textId="5A8117BE" w:rsidR="00F03774" w:rsidRPr="005D4542" w:rsidRDefault="00F03774" w:rsidP="00F03774">
            <w:pPr>
              <w:jc w:val="right"/>
              <w:rPr>
                <w:sz w:val="22"/>
                <w:szCs w:val="22"/>
              </w:rPr>
            </w:pPr>
            <w:r w:rsidRPr="005D4542">
              <w:rPr>
                <w:sz w:val="22"/>
                <w:szCs w:val="22"/>
              </w:rPr>
              <w:t>5.05</w:t>
            </w:r>
          </w:p>
        </w:tc>
        <w:tc>
          <w:tcPr>
            <w:tcW w:w="937" w:type="dxa"/>
            <w:gridSpan w:val="2"/>
            <w:tcBorders>
              <w:left w:val="single" w:sz="4" w:space="0" w:color="auto"/>
              <w:right w:val="double" w:sz="4" w:space="0" w:color="auto"/>
            </w:tcBorders>
            <w:vAlign w:val="bottom"/>
          </w:tcPr>
          <w:p w14:paraId="0D0167CD" w14:textId="256D1E06" w:rsidR="00F03774" w:rsidRPr="005D4542" w:rsidRDefault="00F03774" w:rsidP="00F03774">
            <w:pPr>
              <w:jc w:val="right"/>
              <w:rPr>
                <w:sz w:val="22"/>
                <w:szCs w:val="22"/>
              </w:rPr>
            </w:pPr>
            <w:r w:rsidRPr="005D4542">
              <w:rPr>
                <w:sz w:val="22"/>
                <w:szCs w:val="22"/>
              </w:rPr>
              <w:t>-4.3</w:t>
            </w:r>
          </w:p>
        </w:tc>
        <w:tc>
          <w:tcPr>
            <w:tcW w:w="937" w:type="dxa"/>
            <w:tcBorders>
              <w:left w:val="double" w:sz="4" w:space="0" w:color="auto"/>
            </w:tcBorders>
            <w:shd w:val="clear" w:color="auto" w:fill="D9D9D9" w:themeFill="background1" w:themeFillShade="D9"/>
            <w:vAlign w:val="bottom"/>
          </w:tcPr>
          <w:p w14:paraId="09F7DF92" w14:textId="497C4C3C" w:rsidR="00F03774" w:rsidRPr="005D4542" w:rsidRDefault="00F03774" w:rsidP="00F03774">
            <w:pPr>
              <w:jc w:val="right"/>
              <w:rPr>
                <w:sz w:val="22"/>
                <w:szCs w:val="22"/>
              </w:rPr>
            </w:pPr>
            <w:r w:rsidRPr="005D4542">
              <w:rPr>
                <w:sz w:val="22"/>
                <w:szCs w:val="22"/>
              </w:rPr>
              <w:t>3.86</w:t>
            </w:r>
          </w:p>
        </w:tc>
        <w:tc>
          <w:tcPr>
            <w:tcW w:w="936" w:type="dxa"/>
            <w:tcBorders>
              <w:right w:val="single" w:sz="12" w:space="0" w:color="auto"/>
            </w:tcBorders>
            <w:shd w:val="clear" w:color="auto" w:fill="D9D9D9" w:themeFill="background1" w:themeFillShade="D9"/>
            <w:vAlign w:val="bottom"/>
          </w:tcPr>
          <w:p w14:paraId="05488B15" w14:textId="5B97FB8A" w:rsidR="00F03774" w:rsidRPr="005D4542" w:rsidRDefault="00F03774" w:rsidP="00F03774">
            <w:pPr>
              <w:jc w:val="right"/>
              <w:rPr>
                <w:sz w:val="22"/>
                <w:szCs w:val="22"/>
              </w:rPr>
            </w:pPr>
            <w:r w:rsidRPr="005D4542">
              <w:rPr>
                <w:sz w:val="22"/>
                <w:szCs w:val="22"/>
              </w:rPr>
              <w:t>-1.9</w:t>
            </w:r>
          </w:p>
        </w:tc>
        <w:tc>
          <w:tcPr>
            <w:tcW w:w="937" w:type="dxa"/>
            <w:gridSpan w:val="2"/>
            <w:tcBorders>
              <w:left w:val="single" w:sz="12" w:space="0" w:color="auto"/>
              <w:right w:val="single" w:sz="4" w:space="0" w:color="auto"/>
            </w:tcBorders>
            <w:vAlign w:val="bottom"/>
          </w:tcPr>
          <w:p w14:paraId="4B0C4A18" w14:textId="5651E601" w:rsidR="00F03774" w:rsidRPr="005D4542" w:rsidRDefault="00F03774" w:rsidP="00F03774">
            <w:pPr>
              <w:jc w:val="right"/>
              <w:rPr>
                <w:sz w:val="22"/>
                <w:szCs w:val="22"/>
              </w:rPr>
            </w:pPr>
            <w:r w:rsidRPr="005D4542">
              <w:rPr>
                <w:sz w:val="22"/>
                <w:szCs w:val="22"/>
              </w:rPr>
              <w:t>5.11</w:t>
            </w:r>
          </w:p>
        </w:tc>
        <w:tc>
          <w:tcPr>
            <w:tcW w:w="937" w:type="dxa"/>
            <w:tcBorders>
              <w:left w:val="single" w:sz="4" w:space="0" w:color="auto"/>
              <w:right w:val="double" w:sz="4" w:space="0" w:color="auto"/>
            </w:tcBorders>
            <w:vAlign w:val="bottom"/>
          </w:tcPr>
          <w:p w14:paraId="31834DAA" w14:textId="35929F6C" w:rsidR="00F03774" w:rsidRPr="005D4542" w:rsidRDefault="00F03774" w:rsidP="00F03774">
            <w:pPr>
              <w:jc w:val="right"/>
              <w:rPr>
                <w:sz w:val="22"/>
                <w:szCs w:val="22"/>
              </w:rPr>
            </w:pPr>
            <w:r w:rsidRPr="005D4542">
              <w:rPr>
                <w:sz w:val="22"/>
                <w:szCs w:val="22"/>
              </w:rPr>
              <w:t>-3.8</w:t>
            </w:r>
          </w:p>
        </w:tc>
      </w:tr>
      <w:tr w:rsidR="00F03774" w:rsidRPr="00E465D0" w14:paraId="3E3F77EC"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6BC27635" w14:textId="77777777" w:rsidR="00F03774" w:rsidRPr="00E465D0" w:rsidRDefault="00F03774" w:rsidP="00F03774">
            <w:pPr>
              <w:jc w:val="center"/>
              <w:rPr>
                <w:sz w:val="20"/>
                <w:szCs w:val="20"/>
              </w:rPr>
            </w:pPr>
          </w:p>
        </w:tc>
        <w:tc>
          <w:tcPr>
            <w:tcW w:w="1260" w:type="dxa"/>
            <w:tcBorders>
              <w:right w:val="double" w:sz="4" w:space="0" w:color="auto"/>
            </w:tcBorders>
          </w:tcPr>
          <w:p w14:paraId="1E3DC7BE" w14:textId="2F581A4B" w:rsidR="00F03774" w:rsidRPr="00E465D0" w:rsidRDefault="007D67AC" w:rsidP="00F03774">
            <w:pPr>
              <w:rPr>
                <w:sz w:val="18"/>
                <w:szCs w:val="18"/>
              </w:rPr>
            </w:pPr>
            <w:r>
              <w:rPr>
                <w:sz w:val="18"/>
                <w:szCs w:val="18"/>
              </w:rPr>
              <w:t>1-3</w:t>
            </w:r>
            <w:r w:rsidR="00F03774" w:rsidRPr="00E465D0">
              <w:rPr>
                <w:sz w:val="18"/>
                <w:szCs w:val="18"/>
              </w:rPr>
              <w:t xml:space="preserve"> days/mo.</w:t>
            </w:r>
          </w:p>
        </w:tc>
        <w:tc>
          <w:tcPr>
            <w:tcW w:w="936" w:type="dxa"/>
            <w:tcBorders>
              <w:left w:val="double" w:sz="4" w:space="0" w:color="auto"/>
            </w:tcBorders>
            <w:shd w:val="clear" w:color="auto" w:fill="D9D9D9" w:themeFill="background1" w:themeFillShade="D9"/>
            <w:vAlign w:val="bottom"/>
          </w:tcPr>
          <w:p w14:paraId="43247A7F" w14:textId="34F800A0" w:rsidR="00F03774" w:rsidRPr="005D4542" w:rsidRDefault="00F03774" w:rsidP="00F03774">
            <w:pPr>
              <w:jc w:val="right"/>
              <w:rPr>
                <w:sz w:val="22"/>
                <w:szCs w:val="22"/>
              </w:rPr>
            </w:pPr>
            <w:r w:rsidRPr="005D4542">
              <w:rPr>
                <w:sz w:val="22"/>
                <w:szCs w:val="22"/>
              </w:rPr>
              <w:t>2.25</w:t>
            </w:r>
          </w:p>
        </w:tc>
        <w:tc>
          <w:tcPr>
            <w:tcW w:w="937" w:type="dxa"/>
            <w:gridSpan w:val="2"/>
            <w:tcBorders>
              <w:right w:val="single" w:sz="12" w:space="0" w:color="auto"/>
            </w:tcBorders>
            <w:shd w:val="clear" w:color="auto" w:fill="D9D9D9" w:themeFill="background1" w:themeFillShade="D9"/>
            <w:vAlign w:val="bottom"/>
          </w:tcPr>
          <w:p w14:paraId="697C35FF" w14:textId="1DE1794D" w:rsidR="00F03774" w:rsidRPr="005D4542" w:rsidRDefault="00F03774" w:rsidP="00F03774">
            <w:pPr>
              <w:jc w:val="right"/>
              <w:rPr>
                <w:sz w:val="22"/>
                <w:szCs w:val="22"/>
              </w:rPr>
            </w:pPr>
            <w:r w:rsidRPr="005D4542">
              <w:rPr>
                <w:sz w:val="22"/>
                <w:szCs w:val="22"/>
              </w:rPr>
              <w:t>2.8</w:t>
            </w:r>
          </w:p>
        </w:tc>
        <w:tc>
          <w:tcPr>
            <w:tcW w:w="937" w:type="dxa"/>
            <w:tcBorders>
              <w:left w:val="single" w:sz="12" w:space="0" w:color="auto"/>
            </w:tcBorders>
            <w:vAlign w:val="bottom"/>
          </w:tcPr>
          <w:p w14:paraId="5D306C00" w14:textId="41B2DC4A" w:rsidR="00F03774" w:rsidRPr="005D4542" w:rsidRDefault="00F03774" w:rsidP="00F03774">
            <w:pPr>
              <w:jc w:val="right"/>
              <w:rPr>
                <w:sz w:val="22"/>
                <w:szCs w:val="22"/>
              </w:rPr>
            </w:pPr>
            <w:r w:rsidRPr="005D4542">
              <w:rPr>
                <w:sz w:val="22"/>
                <w:szCs w:val="22"/>
              </w:rPr>
              <w:t>3.41</w:t>
            </w:r>
          </w:p>
        </w:tc>
        <w:tc>
          <w:tcPr>
            <w:tcW w:w="936" w:type="dxa"/>
            <w:tcBorders>
              <w:right w:val="double" w:sz="4" w:space="0" w:color="auto"/>
            </w:tcBorders>
            <w:vAlign w:val="bottom"/>
          </w:tcPr>
          <w:p w14:paraId="25AC1936" w14:textId="48CDDA6D" w:rsidR="00F03774" w:rsidRPr="005D4542" w:rsidRDefault="00F03774" w:rsidP="00F03774">
            <w:pPr>
              <w:jc w:val="right"/>
              <w:rPr>
                <w:sz w:val="22"/>
                <w:szCs w:val="22"/>
              </w:rPr>
            </w:pPr>
            <w:r w:rsidRPr="005D4542">
              <w:rPr>
                <w:sz w:val="22"/>
                <w:szCs w:val="22"/>
              </w:rPr>
              <w:t>16.2</w:t>
            </w:r>
          </w:p>
        </w:tc>
        <w:tc>
          <w:tcPr>
            <w:tcW w:w="937" w:type="dxa"/>
            <w:gridSpan w:val="2"/>
            <w:tcBorders>
              <w:left w:val="double" w:sz="4" w:space="0" w:color="auto"/>
              <w:right w:val="single" w:sz="4" w:space="0" w:color="auto"/>
            </w:tcBorders>
            <w:shd w:val="clear" w:color="auto" w:fill="D9D9D9" w:themeFill="background1" w:themeFillShade="D9"/>
            <w:vAlign w:val="bottom"/>
          </w:tcPr>
          <w:p w14:paraId="565004F5" w14:textId="154EFFD3" w:rsidR="00F03774" w:rsidRPr="005D4542" w:rsidRDefault="00F03774" w:rsidP="00F03774">
            <w:pPr>
              <w:jc w:val="right"/>
              <w:rPr>
                <w:sz w:val="22"/>
                <w:szCs w:val="22"/>
              </w:rPr>
            </w:pPr>
            <w:r w:rsidRPr="005D4542">
              <w:rPr>
                <w:sz w:val="22"/>
                <w:szCs w:val="22"/>
              </w:rPr>
              <w:t>4.07</w:t>
            </w:r>
          </w:p>
        </w:tc>
        <w:tc>
          <w:tcPr>
            <w:tcW w:w="937" w:type="dxa"/>
            <w:tcBorders>
              <w:left w:val="single" w:sz="4" w:space="0" w:color="auto"/>
              <w:right w:val="single" w:sz="12" w:space="0" w:color="auto"/>
            </w:tcBorders>
            <w:shd w:val="clear" w:color="auto" w:fill="D9D9D9" w:themeFill="background1" w:themeFillShade="D9"/>
            <w:vAlign w:val="bottom"/>
          </w:tcPr>
          <w:p w14:paraId="56DB0AC3" w14:textId="5F24A7B1" w:rsidR="00F03774" w:rsidRPr="005D4542" w:rsidRDefault="00F03774" w:rsidP="00F03774">
            <w:pPr>
              <w:jc w:val="right"/>
              <w:rPr>
                <w:sz w:val="22"/>
                <w:szCs w:val="22"/>
              </w:rPr>
            </w:pPr>
            <w:r w:rsidRPr="005D4542">
              <w:rPr>
                <w:sz w:val="22"/>
                <w:szCs w:val="22"/>
              </w:rPr>
              <w:t>3.4</w:t>
            </w:r>
          </w:p>
        </w:tc>
        <w:tc>
          <w:tcPr>
            <w:tcW w:w="936" w:type="dxa"/>
            <w:tcBorders>
              <w:left w:val="single" w:sz="12" w:space="0" w:color="auto"/>
              <w:right w:val="single" w:sz="4" w:space="0" w:color="auto"/>
            </w:tcBorders>
            <w:vAlign w:val="bottom"/>
          </w:tcPr>
          <w:p w14:paraId="2C38B9ED" w14:textId="2C44FAAA" w:rsidR="00F03774" w:rsidRPr="005D4542" w:rsidRDefault="00F03774" w:rsidP="00F03774">
            <w:pPr>
              <w:jc w:val="right"/>
              <w:rPr>
                <w:sz w:val="22"/>
                <w:szCs w:val="22"/>
              </w:rPr>
            </w:pPr>
            <w:r w:rsidRPr="005D4542">
              <w:rPr>
                <w:sz w:val="22"/>
                <w:szCs w:val="22"/>
              </w:rPr>
              <w:t>5.95</w:t>
            </w:r>
          </w:p>
        </w:tc>
        <w:tc>
          <w:tcPr>
            <w:tcW w:w="937" w:type="dxa"/>
            <w:gridSpan w:val="2"/>
            <w:tcBorders>
              <w:left w:val="single" w:sz="4" w:space="0" w:color="auto"/>
              <w:right w:val="double" w:sz="4" w:space="0" w:color="auto"/>
            </w:tcBorders>
            <w:vAlign w:val="bottom"/>
          </w:tcPr>
          <w:p w14:paraId="17417FD5" w14:textId="5D83AB99" w:rsidR="00F03774" w:rsidRPr="005D4542" w:rsidRDefault="00F03774" w:rsidP="00F03774">
            <w:pPr>
              <w:jc w:val="right"/>
              <w:rPr>
                <w:sz w:val="22"/>
                <w:szCs w:val="22"/>
              </w:rPr>
            </w:pPr>
            <w:r w:rsidRPr="005D4542">
              <w:rPr>
                <w:sz w:val="22"/>
                <w:szCs w:val="22"/>
              </w:rPr>
              <w:t>12.8</w:t>
            </w:r>
          </w:p>
        </w:tc>
        <w:tc>
          <w:tcPr>
            <w:tcW w:w="937" w:type="dxa"/>
            <w:tcBorders>
              <w:left w:val="double" w:sz="4" w:space="0" w:color="auto"/>
            </w:tcBorders>
            <w:shd w:val="clear" w:color="auto" w:fill="D9D9D9" w:themeFill="background1" w:themeFillShade="D9"/>
            <w:vAlign w:val="bottom"/>
          </w:tcPr>
          <w:p w14:paraId="46D1D3D6" w14:textId="7DFE86A0" w:rsidR="00F03774" w:rsidRPr="005D4542" w:rsidRDefault="00F03774" w:rsidP="00F03774">
            <w:pPr>
              <w:jc w:val="right"/>
              <w:rPr>
                <w:sz w:val="22"/>
                <w:szCs w:val="22"/>
              </w:rPr>
            </w:pPr>
            <w:r w:rsidRPr="005D4542">
              <w:rPr>
                <w:sz w:val="22"/>
                <w:szCs w:val="22"/>
              </w:rPr>
              <w:t>4.08</w:t>
            </w:r>
          </w:p>
        </w:tc>
        <w:tc>
          <w:tcPr>
            <w:tcW w:w="936" w:type="dxa"/>
            <w:tcBorders>
              <w:right w:val="single" w:sz="12" w:space="0" w:color="auto"/>
            </w:tcBorders>
            <w:shd w:val="clear" w:color="auto" w:fill="D9D9D9" w:themeFill="background1" w:themeFillShade="D9"/>
            <w:vAlign w:val="bottom"/>
          </w:tcPr>
          <w:p w14:paraId="7AB8A130" w14:textId="451028C3" w:rsidR="00F03774" w:rsidRPr="005D4542" w:rsidRDefault="00F03774" w:rsidP="00F03774">
            <w:pPr>
              <w:jc w:val="right"/>
              <w:rPr>
                <w:sz w:val="22"/>
                <w:szCs w:val="22"/>
              </w:rPr>
            </w:pPr>
            <w:r w:rsidRPr="005D4542">
              <w:rPr>
                <w:sz w:val="22"/>
                <w:szCs w:val="22"/>
              </w:rPr>
              <w:t>3.5</w:t>
            </w:r>
          </w:p>
        </w:tc>
        <w:tc>
          <w:tcPr>
            <w:tcW w:w="937" w:type="dxa"/>
            <w:gridSpan w:val="2"/>
            <w:tcBorders>
              <w:left w:val="single" w:sz="12" w:space="0" w:color="auto"/>
              <w:right w:val="single" w:sz="4" w:space="0" w:color="auto"/>
            </w:tcBorders>
            <w:vAlign w:val="bottom"/>
          </w:tcPr>
          <w:p w14:paraId="180CB696" w14:textId="36F9BAE5" w:rsidR="00F03774" w:rsidRPr="005D4542" w:rsidRDefault="00F03774" w:rsidP="00F03774">
            <w:pPr>
              <w:jc w:val="right"/>
              <w:rPr>
                <w:sz w:val="22"/>
                <w:szCs w:val="22"/>
              </w:rPr>
            </w:pPr>
            <w:r w:rsidRPr="005D4542">
              <w:rPr>
                <w:sz w:val="22"/>
                <w:szCs w:val="22"/>
              </w:rPr>
              <w:t>6.00</w:t>
            </w:r>
          </w:p>
        </w:tc>
        <w:tc>
          <w:tcPr>
            <w:tcW w:w="937" w:type="dxa"/>
            <w:tcBorders>
              <w:left w:val="single" w:sz="4" w:space="0" w:color="auto"/>
              <w:right w:val="double" w:sz="4" w:space="0" w:color="auto"/>
            </w:tcBorders>
            <w:vAlign w:val="bottom"/>
          </w:tcPr>
          <w:p w14:paraId="3AC54D9E" w14:textId="460C7AB6" w:rsidR="00F03774" w:rsidRPr="005D4542" w:rsidRDefault="00F03774" w:rsidP="00F03774">
            <w:pPr>
              <w:jc w:val="right"/>
              <w:rPr>
                <w:sz w:val="22"/>
                <w:szCs w:val="22"/>
              </w:rPr>
            </w:pPr>
            <w:r w:rsidRPr="005D4542">
              <w:rPr>
                <w:sz w:val="22"/>
                <w:szCs w:val="22"/>
              </w:rPr>
              <w:t>13.2</w:t>
            </w:r>
          </w:p>
        </w:tc>
      </w:tr>
      <w:tr w:rsidR="00F03774" w:rsidRPr="00E465D0" w14:paraId="7B656978"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23E86430" w14:textId="77777777" w:rsidR="00F03774" w:rsidRPr="00E465D0" w:rsidRDefault="00F03774" w:rsidP="00F03774">
            <w:pPr>
              <w:jc w:val="center"/>
              <w:rPr>
                <w:sz w:val="20"/>
                <w:szCs w:val="20"/>
              </w:rPr>
            </w:pPr>
          </w:p>
        </w:tc>
        <w:tc>
          <w:tcPr>
            <w:tcW w:w="1260" w:type="dxa"/>
            <w:tcBorders>
              <w:right w:val="double" w:sz="4" w:space="0" w:color="auto"/>
            </w:tcBorders>
          </w:tcPr>
          <w:p w14:paraId="25585BE8" w14:textId="77777777" w:rsidR="00F03774" w:rsidRPr="00E465D0" w:rsidRDefault="00F03774" w:rsidP="00F03774">
            <w:pPr>
              <w:rPr>
                <w:sz w:val="18"/>
                <w:szCs w:val="18"/>
              </w:rPr>
            </w:pPr>
            <w:r w:rsidRPr="00E465D0">
              <w:rPr>
                <w:sz w:val="18"/>
                <w:szCs w:val="18"/>
              </w:rPr>
              <w:t>1 day/wk.</w:t>
            </w:r>
          </w:p>
        </w:tc>
        <w:tc>
          <w:tcPr>
            <w:tcW w:w="936" w:type="dxa"/>
            <w:tcBorders>
              <w:left w:val="double" w:sz="4" w:space="0" w:color="auto"/>
            </w:tcBorders>
            <w:shd w:val="clear" w:color="auto" w:fill="D9D9D9" w:themeFill="background1" w:themeFillShade="D9"/>
            <w:vAlign w:val="bottom"/>
          </w:tcPr>
          <w:p w14:paraId="49CA9E49" w14:textId="2BFCD5FE" w:rsidR="00F03774" w:rsidRPr="005D4542" w:rsidRDefault="00F03774" w:rsidP="00F03774">
            <w:pPr>
              <w:jc w:val="right"/>
              <w:rPr>
                <w:sz w:val="22"/>
                <w:szCs w:val="22"/>
              </w:rPr>
            </w:pPr>
            <w:r w:rsidRPr="005D4542">
              <w:rPr>
                <w:sz w:val="22"/>
                <w:szCs w:val="22"/>
              </w:rPr>
              <w:t>2.21</w:t>
            </w:r>
          </w:p>
        </w:tc>
        <w:tc>
          <w:tcPr>
            <w:tcW w:w="937" w:type="dxa"/>
            <w:gridSpan w:val="2"/>
            <w:tcBorders>
              <w:right w:val="single" w:sz="12" w:space="0" w:color="auto"/>
            </w:tcBorders>
            <w:shd w:val="clear" w:color="auto" w:fill="D9D9D9" w:themeFill="background1" w:themeFillShade="D9"/>
            <w:vAlign w:val="bottom"/>
          </w:tcPr>
          <w:p w14:paraId="7D272989" w14:textId="272A9F11" w:rsidR="00F03774" w:rsidRPr="005D4542" w:rsidRDefault="00F03774" w:rsidP="00F03774">
            <w:pPr>
              <w:jc w:val="right"/>
              <w:rPr>
                <w:sz w:val="22"/>
                <w:szCs w:val="22"/>
              </w:rPr>
            </w:pPr>
            <w:r w:rsidRPr="005D4542">
              <w:rPr>
                <w:sz w:val="22"/>
                <w:szCs w:val="22"/>
              </w:rPr>
              <w:t>0.9</w:t>
            </w:r>
          </w:p>
        </w:tc>
        <w:tc>
          <w:tcPr>
            <w:tcW w:w="937" w:type="dxa"/>
            <w:tcBorders>
              <w:left w:val="single" w:sz="12" w:space="0" w:color="auto"/>
            </w:tcBorders>
            <w:vAlign w:val="bottom"/>
          </w:tcPr>
          <w:p w14:paraId="627176DC" w14:textId="0CB568E7" w:rsidR="00F03774" w:rsidRPr="005D4542" w:rsidRDefault="00F03774" w:rsidP="00F03774">
            <w:pPr>
              <w:jc w:val="right"/>
              <w:rPr>
                <w:sz w:val="22"/>
                <w:szCs w:val="22"/>
              </w:rPr>
            </w:pPr>
            <w:r w:rsidRPr="005D4542">
              <w:rPr>
                <w:sz w:val="22"/>
                <w:szCs w:val="22"/>
              </w:rPr>
              <w:t>3.21</w:t>
            </w:r>
          </w:p>
        </w:tc>
        <w:tc>
          <w:tcPr>
            <w:tcW w:w="936" w:type="dxa"/>
            <w:tcBorders>
              <w:right w:val="double" w:sz="4" w:space="0" w:color="auto"/>
            </w:tcBorders>
            <w:vAlign w:val="bottom"/>
          </w:tcPr>
          <w:p w14:paraId="35E9CD22" w14:textId="02609FAB" w:rsidR="00F03774" w:rsidRPr="005D4542" w:rsidRDefault="00F03774" w:rsidP="00F03774">
            <w:pPr>
              <w:jc w:val="right"/>
              <w:rPr>
                <w:sz w:val="22"/>
                <w:szCs w:val="22"/>
              </w:rPr>
            </w:pPr>
            <w:r w:rsidRPr="005D4542">
              <w:rPr>
                <w:sz w:val="22"/>
                <w:szCs w:val="22"/>
              </w:rPr>
              <w:t>9.4</w:t>
            </w:r>
          </w:p>
        </w:tc>
        <w:tc>
          <w:tcPr>
            <w:tcW w:w="937" w:type="dxa"/>
            <w:gridSpan w:val="2"/>
            <w:tcBorders>
              <w:left w:val="double" w:sz="4" w:space="0" w:color="auto"/>
              <w:right w:val="single" w:sz="4" w:space="0" w:color="auto"/>
            </w:tcBorders>
            <w:shd w:val="clear" w:color="auto" w:fill="D9D9D9" w:themeFill="background1" w:themeFillShade="D9"/>
            <w:vAlign w:val="bottom"/>
          </w:tcPr>
          <w:p w14:paraId="656F6AD0" w14:textId="7C3D21C7" w:rsidR="00F03774" w:rsidRPr="005D4542" w:rsidRDefault="00F03774" w:rsidP="00F03774">
            <w:pPr>
              <w:jc w:val="right"/>
              <w:rPr>
                <w:sz w:val="22"/>
                <w:szCs w:val="22"/>
              </w:rPr>
            </w:pPr>
            <w:r w:rsidRPr="005D4542">
              <w:rPr>
                <w:sz w:val="22"/>
                <w:szCs w:val="22"/>
              </w:rPr>
              <w:t>4.00</w:t>
            </w:r>
          </w:p>
        </w:tc>
        <w:tc>
          <w:tcPr>
            <w:tcW w:w="937" w:type="dxa"/>
            <w:tcBorders>
              <w:left w:val="single" w:sz="4" w:space="0" w:color="auto"/>
              <w:right w:val="single" w:sz="12" w:space="0" w:color="auto"/>
            </w:tcBorders>
            <w:shd w:val="clear" w:color="auto" w:fill="D9D9D9" w:themeFill="background1" w:themeFillShade="D9"/>
            <w:vAlign w:val="bottom"/>
          </w:tcPr>
          <w:p w14:paraId="7E61A91E" w14:textId="2335B5DE" w:rsidR="00F03774" w:rsidRPr="005D4542" w:rsidRDefault="00F03774" w:rsidP="00F03774">
            <w:pPr>
              <w:jc w:val="right"/>
              <w:rPr>
                <w:sz w:val="22"/>
                <w:szCs w:val="22"/>
              </w:rPr>
            </w:pPr>
            <w:r w:rsidRPr="005D4542">
              <w:rPr>
                <w:sz w:val="22"/>
                <w:szCs w:val="22"/>
              </w:rPr>
              <w:t>1.6</w:t>
            </w:r>
          </w:p>
        </w:tc>
        <w:tc>
          <w:tcPr>
            <w:tcW w:w="936" w:type="dxa"/>
            <w:tcBorders>
              <w:left w:val="single" w:sz="12" w:space="0" w:color="auto"/>
              <w:right w:val="single" w:sz="4" w:space="0" w:color="auto"/>
            </w:tcBorders>
            <w:vAlign w:val="bottom"/>
          </w:tcPr>
          <w:p w14:paraId="03A1D1E6" w14:textId="24A8AF11" w:rsidR="00F03774" w:rsidRPr="005D4542" w:rsidRDefault="00F03774" w:rsidP="00F03774">
            <w:pPr>
              <w:jc w:val="right"/>
              <w:rPr>
                <w:sz w:val="22"/>
                <w:szCs w:val="22"/>
              </w:rPr>
            </w:pPr>
            <w:r w:rsidRPr="005D4542">
              <w:rPr>
                <w:sz w:val="22"/>
                <w:szCs w:val="22"/>
              </w:rPr>
              <w:t>5.67</w:t>
            </w:r>
          </w:p>
        </w:tc>
        <w:tc>
          <w:tcPr>
            <w:tcW w:w="937" w:type="dxa"/>
            <w:gridSpan w:val="2"/>
            <w:tcBorders>
              <w:left w:val="single" w:sz="4" w:space="0" w:color="auto"/>
              <w:right w:val="double" w:sz="4" w:space="0" w:color="auto"/>
            </w:tcBorders>
            <w:vAlign w:val="bottom"/>
          </w:tcPr>
          <w:p w14:paraId="71FE0A8A" w14:textId="176BAE4C" w:rsidR="00F03774" w:rsidRPr="005D4542" w:rsidRDefault="00F03774" w:rsidP="00F03774">
            <w:pPr>
              <w:jc w:val="right"/>
              <w:rPr>
                <w:sz w:val="22"/>
                <w:szCs w:val="22"/>
              </w:rPr>
            </w:pPr>
            <w:r w:rsidRPr="005D4542">
              <w:rPr>
                <w:sz w:val="22"/>
                <w:szCs w:val="22"/>
              </w:rPr>
              <w:t>7.4</w:t>
            </w:r>
          </w:p>
        </w:tc>
        <w:tc>
          <w:tcPr>
            <w:tcW w:w="937" w:type="dxa"/>
            <w:tcBorders>
              <w:left w:val="double" w:sz="4" w:space="0" w:color="auto"/>
            </w:tcBorders>
            <w:shd w:val="clear" w:color="auto" w:fill="D9D9D9" w:themeFill="background1" w:themeFillShade="D9"/>
            <w:vAlign w:val="bottom"/>
          </w:tcPr>
          <w:p w14:paraId="39E753DC" w14:textId="3D304029" w:rsidR="00F03774" w:rsidRPr="005D4542" w:rsidRDefault="00F03774" w:rsidP="00F03774">
            <w:pPr>
              <w:jc w:val="right"/>
              <w:rPr>
                <w:sz w:val="22"/>
                <w:szCs w:val="22"/>
              </w:rPr>
            </w:pPr>
            <w:r w:rsidRPr="005D4542">
              <w:rPr>
                <w:sz w:val="22"/>
                <w:szCs w:val="22"/>
              </w:rPr>
              <w:t>4.00</w:t>
            </w:r>
          </w:p>
        </w:tc>
        <w:tc>
          <w:tcPr>
            <w:tcW w:w="936" w:type="dxa"/>
            <w:tcBorders>
              <w:right w:val="single" w:sz="12" w:space="0" w:color="auto"/>
            </w:tcBorders>
            <w:shd w:val="clear" w:color="auto" w:fill="D9D9D9" w:themeFill="background1" w:themeFillShade="D9"/>
            <w:vAlign w:val="bottom"/>
          </w:tcPr>
          <w:p w14:paraId="7A88DEFB" w14:textId="2E9A7050" w:rsidR="00F03774" w:rsidRPr="005D4542" w:rsidRDefault="00F03774" w:rsidP="00F03774">
            <w:pPr>
              <w:jc w:val="right"/>
              <w:rPr>
                <w:sz w:val="22"/>
                <w:szCs w:val="22"/>
              </w:rPr>
            </w:pPr>
            <w:r w:rsidRPr="005D4542">
              <w:rPr>
                <w:sz w:val="22"/>
                <w:szCs w:val="22"/>
              </w:rPr>
              <w:t>1.6</w:t>
            </w:r>
          </w:p>
        </w:tc>
        <w:tc>
          <w:tcPr>
            <w:tcW w:w="937" w:type="dxa"/>
            <w:gridSpan w:val="2"/>
            <w:tcBorders>
              <w:left w:val="single" w:sz="12" w:space="0" w:color="auto"/>
              <w:right w:val="single" w:sz="4" w:space="0" w:color="auto"/>
            </w:tcBorders>
            <w:vAlign w:val="bottom"/>
          </w:tcPr>
          <w:p w14:paraId="6FDF4EFF" w14:textId="4CFCB3D5" w:rsidR="00F03774" w:rsidRPr="005D4542" w:rsidRDefault="00F03774" w:rsidP="00F03774">
            <w:pPr>
              <w:jc w:val="right"/>
              <w:rPr>
                <w:sz w:val="22"/>
                <w:szCs w:val="22"/>
              </w:rPr>
            </w:pPr>
            <w:r w:rsidRPr="005D4542">
              <w:rPr>
                <w:sz w:val="22"/>
                <w:szCs w:val="22"/>
              </w:rPr>
              <w:t>5.70</w:t>
            </w:r>
          </w:p>
        </w:tc>
        <w:tc>
          <w:tcPr>
            <w:tcW w:w="937" w:type="dxa"/>
            <w:tcBorders>
              <w:left w:val="single" w:sz="4" w:space="0" w:color="auto"/>
              <w:right w:val="double" w:sz="4" w:space="0" w:color="auto"/>
            </w:tcBorders>
            <w:vAlign w:val="bottom"/>
          </w:tcPr>
          <w:p w14:paraId="64E68ABD" w14:textId="31D832FB" w:rsidR="00F03774" w:rsidRPr="005D4542" w:rsidRDefault="00F03774" w:rsidP="00F03774">
            <w:pPr>
              <w:jc w:val="right"/>
              <w:rPr>
                <w:sz w:val="22"/>
                <w:szCs w:val="22"/>
              </w:rPr>
            </w:pPr>
            <w:r w:rsidRPr="005D4542">
              <w:rPr>
                <w:sz w:val="22"/>
                <w:szCs w:val="22"/>
              </w:rPr>
              <w:t>7.5</w:t>
            </w:r>
          </w:p>
        </w:tc>
      </w:tr>
      <w:tr w:rsidR="00F03774" w:rsidRPr="00E465D0" w14:paraId="52528AFB"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7C8C279C" w14:textId="77777777" w:rsidR="00F03774" w:rsidRPr="00E465D0" w:rsidRDefault="00F03774" w:rsidP="00F03774">
            <w:pPr>
              <w:jc w:val="center"/>
              <w:rPr>
                <w:sz w:val="20"/>
                <w:szCs w:val="20"/>
              </w:rPr>
            </w:pPr>
          </w:p>
        </w:tc>
        <w:tc>
          <w:tcPr>
            <w:tcW w:w="1260" w:type="dxa"/>
            <w:tcBorders>
              <w:right w:val="double" w:sz="4" w:space="0" w:color="auto"/>
            </w:tcBorders>
          </w:tcPr>
          <w:p w14:paraId="27D8982A" w14:textId="77777777" w:rsidR="00F03774" w:rsidRPr="00E465D0" w:rsidRDefault="00F03774" w:rsidP="00F03774">
            <w:pPr>
              <w:rPr>
                <w:sz w:val="18"/>
                <w:szCs w:val="18"/>
              </w:rPr>
            </w:pPr>
            <w:r w:rsidRPr="00E465D0">
              <w:rPr>
                <w:sz w:val="18"/>
                <w:szCs w:val="18"/>
              </w:rPr>
              <w:t>2-3 days/wk.</w:t>
            </w:r>
          </w:p>
        </w:tc>
        <w:tc>
          <w:tcPr>
            <w:tcW w:w="936" w:type="dxa"/>
            <w:tcBorders>
              <w:left w:val="double" w:sz="4" w:space="0" w:color="auto"/>
            </w:tcBorders>
            <w:shd w:val="clear" w:color="auto" w:fill="D9D9D9" w:themeFill="background1" w:themeFillShade="D9"/>
            <w:vAlign w:val="bottom"/>
          </w:tcPr>
          <w:p w14:paraId="3B524CEA" w14:textId="0327295D" w:rsidR="00F03774" w:rsidRPr="005D4542" w:rsidRDefault="00F03774" w:rsidP="00F03774">
            <w:pPr>
              <w:jc w:val="right"/>
              <w:rPr>
                <w:sz w:val="22"/>
                <w:szCs w:val="22"/>
              </w:rPr>
            </w:pPr>
            <w:r w:rsidRPr="005D4542">
              <w:rPr>
                <w:sz w:val="22"/>
                <w:szCs w:val="22"/>
              </w:rPr>
              <w:t>2.17</w:t>
            </w:r>
          </w:p>
        </w:tc>
        <w:tc>
          <w:tcPr>
            <w:tcW w:w="937" w:type="dxa"/>
            <w:gridSpan w:val="2"/>
            <w:tcBorders>
              <w:right w:val="single" w:sz="12" w:space="0" w:color="auto"/>
            </w:tcBorders>
            <w:shd w:val="clear" w:color="auto" w:fill="D9D9D9" w:themeFill="background1" w:themeFillShade="D9"/>
            <w:vAlign w:val="bottom"/>
          </w:tcPr>
          <w:p w14:paraId="5F5D75B0" w14:textId="5FAFDE65" w:rsidR="00F03774" w:rsidRPr="005D4542" w:rsidRDefault="00F03774" w:rsidP="00F03774">
            <w:pPr>
              <w:jc w:val="right"/>
              <w:rPr>
                <w:sz w:val="22"/>
                <w:szCs w:val="22"/>
              </w:rPr>
            </w:pPr>
            <w:r w:rsidRPr="005D4542">
              <w:rPr>
                <w:sz w:val="22"/>
                <w:szCs w:val="22"/>
              </w:rPr>
              <w:t>-0.7</w:t>
            </w:r>
          </w:p>
        </w:tc>
        <w:tc>
          <w:tcPr>
            <w:tcW w:w="937" w:type="dxa"/>
            <w:tcBorders>
              <w:left w:val="single" w:sz="12" w:space="0" w:color="auto"/>
            </w:tcBorders>
            <w:vAlign w:val="bottom"/>
          </w:tcPr>
          <w:p w14:paraId="1F78C21F" w14:textId="3891CBD8" w:rsidR="00F03774" w:rsidRPr="005D4542" w:rsidRDefault="00F03774" w:rsidP="00F03774">
            <w:pPr>
              <w:jc w:val="right"/>
              <w:rPr>
                <w:sz w:val="22"/>
                <w:szCs w:val="22"/>
              </w:rPr>
            </w:pPr>
            <w:r w:rsidRPr="005D4542">
              <w:rPr>
                <w:sz w:val="22"/>
                <w:szCs w:val="22"/>
              </w:rPr>
              <w:t>3.05</w:t>
            </w:r>
          </w:p>
        </w:tc>
        <w:tc>
          <w:tcPr>
            <w:tcW w:w="936" w:type="dxa"/>
            <w:tcBorders>
              <w:right w:val="double" w:sz="4" w:space="0" w:color="auto"/>
            </w:tcBorders>
            <w:vAlign w:val="bottom"/>
          </w:tcPr>
          <w:p w14:paraId="76BBE94A" w14:textId="2FA10C3D" w:rsidR="00F03774" w:rsidRPr="005D4542" w:rsidRDefault="00F03774" w:rsidP="00F03774">
            <w:pPr>
              <w:jc w:val="right"/>
              <w:rPr>
                <w:sz w:val="22"/>
                <w:szCs w:val="22"/>
              </w:rPr>
            </w:pPr>
            <w:r w:rsidRPr="005D4542">
              <w:rPr>
                <w:sz w:val="22"/>
                <w:szCs w:val="22"/>
              </w:rPr>
              <w:t>3.9</w:t>
            </w:r>
          </w:p>
        </w:tc>
        <w:tc>
          <w:tcPr>
            <w:tcW w:w="937" w:type="dxa"/>
            <w:gridSpan w:val="2"/>
            <w:tcBorders>
              <w:left w:val="double" w:sz="4" w:space="0" w:color="auto"/>
              <w:right w:val="single" w:sz="4" w:space="0" w:color="auto"/>
            </w:tcBorders>
            <w:shd w:val="clear" w:color="auto" w:fill="D9D9D9" w:themeFill="background1" w:themeFillShade="D9"/>
            <w:vAlign w:val="bottom"/>
          </w:tcPr>
          <w:p w14:paraId="21F1A768" w14:textId="74AAC811" w:rsidR="00F03774" w:rsidRPr="005D4542" w:rsidRDefault="00F03774" w:rsidP="00F03774">
            <w:pPr>
              <w:jc w:val="right"/>
              <w:rPr>
                <w:sz w:val="22"/>
                <w:szCs w:val="22"/>
              </w:rPr>
            </w:pPr>
            <w:r w:rsidRPr="005D4542">
              <w:rPr>
                <w:sz w:val="22"/>
                <w:szCs w:val="22"/>
              </w:rPr>
              <w:t>3.94</w:t>
            </w:r>
          </w:p>
        </w:tc>
        <w:tc>
          <w:tcPr>
            <w:tcW w:w="937" w:type="dxa"/>
            <w:tcBorders>
              <w:left w:val="single" w:sz="4" w:space="0" w:color="auto"/>
              <w:right w:val="single" w:sz="12" w:space="0" w:color="auto"/>
            </w:tcBorders>
            <w:shd w:val="clear" w:color="auto" w:fill="D9D9D9" w:themeFill="background1" w:themeFillShade="D9"/>
            <w:vAlign w:val="bottom"/>
          </w:tcPr>
          <w:p w14:paraId="4EB00D6F" w14:textId="243756C8" w:rsidR="00F03774" w:rsidRPr="005D4542" w:rsidRDefault="00F03774" w:rsidP="00F03774">
            <w:pPr>
              <w:jc w:val="right"/>
              <w:rPr>
                <w:sz w:val="22"/>
                <w:szCs w:val="22"/>
              </w:rPr>
            </w:pPr>
            <w:r w:rsidRPr="005D4542">
              <w:rPr>
                <w:sz w:val="22"/>
                <w:szCs w:val="22"/>
              </w:rPr>
              <w:t>-0.1</w:t>
            </w:r>
          </w:p>
        </w:tc>
        <w:tc>
          <w:tcPr>
            <w:tcW w:w="936" w:type="dxa"/>
            <w:tcBorders>
              <w:left w:val="single" w:sz="12" w:space="0" w:color="auto"/>
              <w:right w:val="single" w:sz="4" w:space="0" w:color="auto"/>
            </w:tcBorders>
            <w:vAlign w:val="bottom"/>
          </w:tcPr>
          <w:p w14:paraId="53002E32" w14:textId="486BCE13" w:rsidR="00F03774" w:rsidRPr="005D4542" w:rsidRDefault="00F03774" w:rsidP="00F03774">
            <w:pPr>
              <w:jc w:val="right"/>
              <w:rPr>
                <w:sz w:val="22"/>
                <w:szCs w:val="22"/>
              </w:rPr>
            </w:pPr>
            <w:r w:rsidRPr="005D4542">
              <w:rPr>
                <w:sz w:val="22"/>
                <w:szCs w:val="22"/>
              </w:rPr>
              <w:t>5.43</w:t>
            </w:r>
          </w:p>
        </w:tc>
        <w:tc>
          <w:tcPr>
            <w:tcW w:w="937" w:type="dxa"/>
            <w:gridSpan w:val="2"/>
            <w:tcBorders>
              <w:left w:val="single" w:sz="4" w:space="0" w:color="auto"/>
              <w:right w:val="double" w:sz="4" w:space="0" w:color="auto"/>
            </w:tcBorders>
            <w:vAlign w:val="bottom"/>
          </w:tcPr>
          <w:p w14:paraId="48F909F5" w14:textId="6D174F42" w:rsidR="00F03774" w:rsidRPr="005D4542" w:rsidRDefault="00F03774" w:rsidP="00F03774">
            <w:pPr>
              <w:jc w:val="right"/>
              <w:rPr>
                <w:sz w:val="22"/>
                <w:szCs w:val="22"/>
              </w:rPr>
            </w:pPr>
            <w:r w:rsidRPr="005D4542">
              <w:rPr>
                <w:sz w:val="22"/>
                <w:szCs w:val="22"/>
              </w:rPr>
              <w:t>2.9</w:t>
            </w:r>
          </w:p>
        </w:tc>
        <w:tc>
          <w:tcPr>
            <w:tcW w:w="937" w:type="dxa"/>
            <w:tcBorders>
              <w:left w:val="double" w:sz="4" w:space="0" w:color="auto"/>
            </w:tcBorders>
            <w:shd w:val="clear" w:color="auto" w:fill="D9D9D9" w:themeFill="background1" w:themeFillShade="D9"/>
            <w:vAlign w:val="bottom"/>
          </w:tcPr>
          <w:p w14:paraId="14FFD506" w14:textId="234D2EF2" w:rsidR="00F03774" w:rsidRPr="005D4542" w:rsidRDefault="00F03774" w:rsidP="00F03774">
            <w:pPr>
              <w:jc w:val="right"/>
              <w:rPr>
                <w:sz w:val="22"/>
                <w:szCs w:val="22"/>
              </w:rPr>
            </w:pPr>
            <w:r w:rsidRPr="005D4542">
              <w:rPr>
                <w:sz w:val="22"/>
                <w:szCs w:val="22"/>
              </w:rPr>
              <w:t>3.93</w:t>
            </w:r>
          </w:p>
        </w:tc>
        <w:tc>
          <w:tcPr>
            <w:tcW w:w="936" w:type="dxa"/>
            <w:tcBorders>
              <w:right w:val="single" w:sz="12" w:space="0" w:color="auto"/>
            </w:tcBorders>
            <w:shd w:val="clear" w:color="auto" w:fill="D9D9D9" w:themeFill="background1" w:themeFillShade="D9"/>
            <w:vAlign w:val="bottom"/>
          </w:tcPr>
          <w:p w14:paraId="359BF290" w14:textId="48ED1B29" w:rsidR="00F03774" w:rsidRPr="005D4542" w:rsidRDefault="00F03774" w:rsidP="00F03774">
            <w:pPr>
              <w:jc w:val="right"/>
              <w:rPr>
                <w:sz w:val="22"/>
                <w:szCs w:val="22"/>
              </w:rPr>
            </w:pPr>
            <w:r w:rsidRPr="005D4542">
              <w:rPr>
                <w:sz w:val="22"/>
                <w:szCs w:val="22"/>
              </w:rPr>
              <w:t>-0.1</w:t>
            </w:r>
          </w:p>
        </w:tc>
        <w:tc>
          <w:tcPr>
            <w:tcW w:w="937" w:type="dxa"/>
            <w:gridSpan w:val="2"/>
            <w:tcBorders>
              <w:left w:val="single" w:sz="12" w:space="0" w:color="auto"/>
              <w:right w:val="single" w:sz="4" w:space="0" w:color="auto"/>
            </w:tcBorders>
            <w:vAlign w:val="bottom"/>
          </w:tcPr>
          <w:p w14:paraId="3AB55EAC" w14:textId="3466F34B" w:rsidR="00F03774" w:rsidRPr="005D4542" w:rsidRDefault="00F03774" w:rsidP="00F03774">
            <w:pPr>
              <w:jc w:val="right"/>
              <w:rPr>
                <w:sz w:val="22"/>
                <w:szCs w:val="22"/>
              </w:rPr>
            </w:pPr>
            <w:r w:rsidRPr="005D4542">
              <w:rPr>
                <w:sz w:val="22"/>
                <w:szCs w:val="22"/>
              </w:rPr>
              <w:t>5.46</w:t>
            </w:r>
          </w:p>
        </w:tc>
        <w:tc>
          <w:tcPr>
            <w:tcW w:w="937" w:type="dxa"/>
            <w:tcBorders>
              <w:left w:val="single" w:sz="4" w:space="0" w:color="auto"/>
              <w:right w:val="double" w:sz="4" w:space="0" w:color="auto"/>
            </w:tcBorders>
            <w:vAlign w:val="bottom"/>
          </w:tcPr>
          <w:p w14:paraId="5AFDB696" w14:textId="76AA83DD" w:rsidR="00F03774" w:rsidRPr="005D4542" w:rsidRDefault="00F03774" w:rsidP="00F03774">
            <w:pPr>
              <w:jc w:val="right"/>
              <w:rPr>
                <w:sz w:val="22"/>
                <w:szCs w:val="22"/>
              </w:rPr>
            </w:pPr>
            <w:r w:rsidRPr="005D4542">
              <w:rPr>
                <w:sz w:val="22"/>
                <w:szCs w:val="22"/>
              </w:rPr>
              <w:t>2.9</w:t>
            </w:r>
          </w:p>
        </w:tc>
      </w:tr>
      <w:tr w:rsidR="00F03774" w:rsidRPr="00E465D0" w14:paraId="25174F46" w14:textId="77777777" w:rsidTr="00302827">
        <w:trPr>
          <w:trHeight w:val="288"/>
        </w:trPr>
        <w:tc>
          <w:tcPr>
            <w:tcW w:w="985" w:type="dxa"/>
            <w:vMerge/>
            <w:tcBorders>
              <w:top w:val="double" w:sz="4" w:space="0" w:color="auto"/>
              <w:left w:val="double" w:sz="4" w:space="0" w:color="auto"/>
              <w:bottom w:val="single" w:sz="4" w:space="0" w:color="auto"/>
            </w:tcBorders>
            <w:vAlign w:val="center"/>
          </w:tcPr>
          <w:p w14:paraId="43AAAE01" w14:textId="77777777" w:rsidR="00F03774" w:rsidRPr="00E465D0" w:rsidRDefault="00F03774" w:rsidP="00F03774">
            <w:pPr>
              <w:jc w:val="center"/>
              <w:rPr>
                <w:sz w:val="20"/>
                <w:szCs w:val="20"/>
              </w:rPr>
            </w:pPr>
          </w:p>
        </w:tc>
        <w:tc>
          <w:tcPr>
            <w:tcW w:w="1260" w:type="dxa"/>
            <w:tcBorders>
              <w:bottom w:val="single" w:sz="4" w:space="0" w:color="auto"/>
              <w:right w:val="double" w:sz="4" w:space="0" w:color="auto"/>
            </w:tcBorders>
          </w:tcPr>
          <w:p w14:paraId="05E228A5" w14:textId="77777777" w:rsidR="00F03774" w:rsidRPr="00E465D0" w:rsidRDefault="00F03774" w:rsidP="00F03774">
            <w:pPr>
              <w:rPr>
                <w:sz w:val="18"/>
                <w:szCs w:val="18"/>
              </w:rPr>
            </w:pPr>
            <w:r w:rsidRPr="00E465D0">
              <w:rPr>
                <w:sz w:val="18"/>
                <w:szCs w:val="18"/>
              </w:rPr>
              <w:t>4 days/wk.</w:t>
            </w:r>
          </w:p>
        </w:tc>
        <w:tc>
          <w:tcPr>
            <w:tcW w:w="936" w:type="dxa"/>
            <w:tcBorders>
              <w:left w:val="double" w:sz="4" w:space="0" w:color="auto"/>
              <w:bottom w:val="single" w:sz="4" w:space="0" w:color="auto"/>
            </w:tcBorders>
            <w:shd w:val="clear" w:color="auto" w:fill="D9D9D9" w:themeFill="background1" w:themeFillShade="D9"/>
            <w:vAlign w:val="bottom"/>
          </w:tcPr>
          <w:p w14:paraId="503DF1F8" w14:textId="1D6B1F7D" w:rsidR="00F03774" w:rsidRPr="005D4542" w:rsidRDefault="00F03774" w:rsidP="00F03774">
            <w:pPr>
              <w:jc w:val="right"/>
              <w:rPr>
                <w:sz w:val="22"/>
                <w:szCs w:val="22"/>
              </w:rPr>
            </w:pPr>
            <w:r w:rsidRPr="005D4542">
              <w:rPr>
                <w:sz w:val="22"/>
                <w:szCs w:val="22"/>
              </w:rPr>
              <w:t>2.20</w:t>
            </w:r>
          </w:p>
        </w:tc>
        <w:tc>
          <w:tcPr>
            <w:tcW w:w="937" w:type="dxa"/>
            <w:gridSpan w:val="2"/>
            <w:tcBorders>
              <w:bottom w:val="single" w:sz="4" w:space="0" w:color="auto"/>
              <w:right w:val="single" w:sz="12" w:space="0" w:color="auto"/>
            </w:tcBorders>
            <w:shd w:val="clear" w:color="auto" w:fill="D9D9D9" w:themeFill="background1" w:themeFillShade="D9"/>
            <w:vAlign w:val="bottom"/>
          </w:tcPr>
          <w:p w14:paraId="7378A17D" w14:textId="732ADDC2" w:rsidR="00F03774" w:rsidRPr="005D4542" w:rsidRDefault="00F03774" w:rsidP="00F03774">
            <w:pPr>
              <w:jc w:val="right"/>
              <w:rPr>
                <w:sz w:val="22"/>
                <w:szCs w:val="22"/>
              </w:rPr>
            </w:pPr>
            <w:r w:rsidRPr="005D4542">
              <w:rPr>
                <w:sz w:val="22"/>
                <w:szCs w:val="22"/>
              </w:rPr>
              <w:t>0.3</w:t>
            </w:r>
          </w:p>
        </w:tc>
        <w:tc>
          <w:tcPr>
            <w:tcW w:w="937" w:type="dxa"/>
            <w:tcBorders>
              <w:left w:val="single" w:sz="12" w:space="0" w:color="auto"/>
              <w:bottom w:val="single" w:sz="4" w:space="0" w:color="auto"/>
            </w:tcBorders>
            <w:vAlign w:val="bottom"/>
          </w:tcPr>
          <w:p w14:paraId="75D835E9" w14:textId="2C9897C9" w:rsidR="00F03774" w:rsidRPr="005D4542" w:rsidRDefault="00F03774" w:rsidP="00F03774">
            <w:pPr>
              <w:jc w:val="right"/>
              <w:rPr>
                <w:sz w:val="22"/>
                <w:szCs w:val="22"/>
              </w:rPr>
            </w:pPr>
            <w:r w:rsidRPr="005D4542">
              <w:rPr>
                <w:sz w:val="22"/>
                <w:szCs w:val="22"/>
              </w:rPr>
              <w:t>3.22</w:t>
            </w:r>
          </w:p>
        </w:tc>
        <w:tc>
          <w:tcPr>
            <w:tcW w:w="936" w:type="dxa"/>
            <w:tcBorders>
              <w:bottom w:val="single" w:sz="4" w:space="0" w:color="auto"/>
              <w:right w:val="double" w:sz="4" w:space="0" w:color="auto"/>
            </w:tcBorders>
            <w:vAlign w:val="bottom"/>
          </w:tcPr>
          <w:p w14:paraId="02993571" w14:textId="2BD2B3E7" w:rsidR="00F03774" w:rsidRPr="005D4542" w:rsidRDefault="00F03774" w:rsidP="00F03774">
            <w:pPr>
              <w:jc w:val="right"/>
              <w:rPr>
                <w:sz w:val="22"/>
                <w:szCs w:val="22"/>
              </w:rPr>
            </w:pPr>
            <w:r w:rsidRPr="005D4542">
              <w:rPr>
                <w:sz w:val="22"/>
                <w:szCs w:val="22"/>
              </w:rPr>
              <w:t>9.7</w:t>
            </w:r>
          </w:p>
        </w:tc>
        <w:tc>
          <w:tcPr>
            <w:tcW w:w="937" w:type="dxa"/>
            <w:gridSpan w:val="2"/>
            <w:tcBorders>
              <w:left w:val="double" w:sz="4" w:space="0" w:color="auto"/>
              <w:bottom w:val="single" w:sz="4" w:space="0" w:color="auto"/>
              <w:right w:val="single" w:sz="4" w:space="0" w:color="auto"/>
            </w:tcBorders>
            <w:shd w:val="clear" w:color="auto" w:fill="D9D9D9" w:themeFill="background1" w:themeFillShade="D9"/>
            <w:vAlign w:val="bottom"/>
          </w:tcPr>
          <w:p w14:paraId="4AA3E506" w14:textId="06B9976B" w:rsidR="00F03774" w:rsidRPr="005D4542" w:rsidRDefault="00F03774" w:rsidP="00F03774">
            <w:pPr>
              <w:jc w:val="right"/>
              <w:rPr>
                <w:sz w:val="22"/>
                <w:szCs w:val="22"/>
              </w:rPr>
            </w:pPr>
            <w:r w:rsidRPr="005D4542">
              <w:rPr>
                <w:sz w:val="22"/>
                <w:szCs w:val="22"/>
              </w:rPr>
              <w:t>3.99</w:t>
            </w:r>
          </w:p>
        </w:tc>
        <w:tc>
          <w:tcPr>
            <w:tcW w:w="937" w:type="dxa"/>
            <w:tcBorders>
              <w:left w:val="single" w:sz="4" w:space="0" w:color="auto"/>
              <w:bottom w:val="single" w:sz="4" w:space="0" w:color="auto"/>
              <w:right w:val="single" w:sz="12" w:space="0" w:color="auto"/>
            </w:tcBorders>
            <w:shd w:val="clear" w:color="auto" w:fill="D9D9D9" w:themeFill="background1" w:themeFillShade="D9"/>
            <w:vAlign w:val="bottom"/>
          </w:tcPr>
          <w:p w14:paraId="0C960122" w14:textId="2B439E6C" w:rsidR="00F03774" w:rsidRPr="005D4542" w:rsidRDefault="00F03774" w:rsidP="00F03774">
            <w:pPr>
              <w:jc w:val="right"/>
              <w:rPr>
                <w:sz w:val="22"/>
                <w:szCs w:val="22"/>
              </w:rPr>
            </w:pPr>
            <w:r w:rsidRPr="005D4542">
              <w:rPr>
                <w:sz w:val="22"/>
                <w:szCs w:val="22"/>
              </w:rPr>
              <w:t>1.2</w:t>
            </w:r>
          </w:p>
        </w:tc>
        <w:tc>
          <w:tcPr>
            <w:tcW w:w="936" w:type="dxa"/>
            <w:tcBorders>
              <w:left w:val="single" w:sz="12" w:space="0" w:color="auto"/>
              <w:bottom w:val="single" w:sz="4" w:space="0" w:color="auto"/>
              <w:right w:val="single" w:sz="4" w:space="0" w:color="auto"/>
            </w:tcBorders>
            <w:vAlign w:val="bottom"/>
          </w:tcPr>
          <w:p w14:paraId="71B639AF" w14:textId="08504D5B" w:rsidR="00F03774" w:rsidRPr="005D4542" w:rsidRDefault="00F03774" w:rsidP="00F03774">
            <w:pPr>
              <w:jc w:val="right"/>
              <w:rPr>
                <w:sz w:val="22"/>
                <w:szCs w:val="22"/>
              </w:rPr>
            </w:pPr>
            <w:r w:rsidRPr="005D4542">
              <w:rPr>
                <w:sz w:val="22"/>
                <w:szCs w:val="22"/>
              </w:rPr>
              <w:t>5.67</w:t>
            </w:r>
          </w:p>
        </w:tc>
        <w:tc>
          <w:tcPr>
            <w:tcW w:w="937" w:type="dxa"/>
            <w:gridSpan w:val="2"/>
            <w:tcBorders>
              <w:left w:val="single" w:sz="4" w:space="0" w:color="auto"/>
              <w:bottom w:val="single" w:sz="4" w:space="0" w:color="auto"/>
              <w:right w:val="double" w:sz="4" w:space="0" w:color="auto"/>
            </w:tcBorders>
            <w:vAlign w:val="bottom"/>
          </w:tcPr>
          <w:p w14:paraId="76CFE196" w14:textId="1FE6063C" w:rsidR="00F03774" w:rsidRPr="005D4542" w:rsidRDefault="00F03774" w:rsidP="00F03774">
            <w:pPr>
              <w:jc w:val="right"/>
              <w:rPr>
                <w:sz w:val="22"/>
                <w:szCs w:val="22"/>
              </w:rPr>
            </w:pPr>
            <w:r w:rsidRPr="005D4542">
              <w:rPr>
                <w:sz w:val="22"/>
                <w:szCs w:val="22"/>
              </w:rPr>
              <w:t>7.5</w:t>
            </w:r>
          </w:p>
        </w:tc>
        <w:tc>
          <w:tcPr>
            <w:tcW w:w="937" w:type="dxa"/>
            <w:tcBorders>
              <w:left w:val="double" w:sz="4" w:space="0" w:color="auto"/>
              <w:bottom w:val="single" w:sz="4" w:space="0" w:color="auto"/>
            </w:tcBorders>
            <w:shd w:val="clear" w:color="auto" w:fill="D9D9D9" w:themeFill="background1" w:themeFillShade="D9"/>
            <w:vAlign w:val="bottom"/>
          </w:tcPr>
          <w:p w14:paraId="200E30CE" w14:textId="070FDB03" w:rsidR="00F03774" w:rsidRPr="005D4542" w:rsidRDefault="00F03774" w:rsidP="00F03774">
            <w:pPr>
              <w:jc w:val="right"/>
              <w:rPr>
                <w:sz w:val="22"/>
                <w:szCs w:val="22"/>
              </w:rPr>
            </w:pPr>
            <w:r w:rsidRPr="005D4542">
              <w:rPr>
                <w:sz w:val="22"/>
                <w:szCs w:val="22"/>
              </w:rPr>
              <w:t>3.98</w:t>
            </w:r>
          </w:p>
        </w:tc>
        <w:tc>
          <w:tcPr>
            <w:tcW w:w="936" w:type="dxa"/>
            <w:tcBorders>
              <w:bottom w:val="single" w:sz="4" w:space="0" w:color="auto"/>
              <w:right w:val="single" w:sz="12" w:space="0" w:color="auto"/>
            </w:tcBorders>
            <w:shd w:val="clear" w:color="auto" w:fill="D9D9D9" w:themeFill="background1" w:themeFillShade="D9"/>
            <w:vAlign w:val="bottom"/>
          </w:tcPr>
          <w:p w14:paraId="5B73054F" w14:textId="08FCBE59" w:rsidR="00F03774" w:rsidRPr="005D4542" w:rsidRDefault="00F03774" w:rsidP="00F03774">
            <w:pPr>
              <w:jc w:val="right"/>
              <w:rPr>
                <w:sz w:val="22"/>
                <w:szCs w:val="22"/>
              </w:rPr>
            </w:pPr>
            <w:r w:rsidRPr="005D4542">
              <w:rPr>
                <w:sz w:val="22"/>
                <w:szCs w:val="22"/>
              </w:rPr>
              <w:t>1.1</w:t>
            </w:r>
          </w:p>
        </w:tc>
        <w:tc>
          <w:tcPr>
            <w:tcW w:w="937" w:type="dxa"/>
            <w:gridSpan w:val="2"/>
            <w:tcBorders>
              <w:left w:val="single" w:sz="12" w:space="0" w:color="auto"/>
              <w:bottom w:val="single" w:sz="4" w:space="0" w:color="auto"/>
              <w:right w:val="single" w:sz="4" w:space="0" w:color="auto"/>
            </w:tcBorders>
            <w:vAlign w:val="bottom"/>
          </w:tcPr>
          <w:p w14:paraId="669F838F" w14:textId="3CB666F4" w:rsidR="00F03774" w:rsidRPr="005D4542" w:rsidRDefault="00F03774" w:rsidP="00F03774">
            <w:pPr>
              <w:jc w:val="right"/>
              <w:rPr>
                <w:sz w:val="22"/>
                <w:szCs w:val="22"/>
              </w:rPr>
            </w:pPr>
            <w:r w:rsidRPr="005D4542">
              <w:rPr>
                <w:sz w:val="22"/>
                <w:szCs w:val="22"/>
              </w:rPr>
              <w:t>5.69</w:t>
            </w:r>
          </w:p>
        </w:tc>
        <w:tc>
          <w:tcPr>
            <w:tcW w:w="937" w:type="dxa"/>
            <w:tcBorders>
              <w:left w:val="single" w:sz="4" w:space="0" w:color="auto"/>
              <w:bottom w:val="single" w:sz="4" w:space="0" w:color="auto"/>
              <w:right w:val="double" w:sz="4" w:space="0" w:color="auto"/>
            </w:tcBorders>
            <w:vAlign w:val="bottom"/>
          </w:tcPr>
          <w:p w14:paraId="1086F951" w14:textId="403BD964" w:rsidR="00F03774" w:rsidRPr="005D4542" w:rsidRDefault="00F03774" w:rsidP="00F03774">
            <w:pPr>
              <w:jc w:val="right"/>
              <w:rPr>
                <w:sz w:val="22"/>
                <w:szCs w:val="22"/>
              </w:rPr>
            </w:pPr>
            <w:r w:rsidRPr="005D4542">
              <w:rPr>
                <w:sz w:val="22"/>
                <w:szCs w:val="22"/>
              </w:rPr>
              <w:t>7.3</w:t>
            </w:r>
          </w:p>
        </w:tc>
      </w:tr>
      <w:tr w:rsidR="00F03774" w:rsidRPr="00E465D0" w14:paraId="0C0B9173" w14:textId="77777777" w:rsidTr="00302827">
        <w:trPr>
          <w:trHeight w:val="288"/>
        </w:trPr>
        <w:tc>
          <w:tcPr>
            <w:tcW w:w="985" w:type="dxa"/>
            <w:vMerge/>
            <w:tcBorders>
              <w:top w:val="double" w:sz="4" w:space="0" w:color="auto"/>
              <w:left w:val="double" w:sz="4" w:space="0" w:color="auto"/>
              <w:bottom w:val="double" w:sz="4" w:space="0" w:color="auto"/>
            </w:tcBorders>
            <w:vAlign w:val="center"/>
          </w:tcPr>
          <w:p w14:paraId="0A4908C6" w14:textId="77777777" w:rsidR="00F03774" w:rsidRPr="00E465D0" w:rsidRDefault="00F03774" w:rsidP="00F03774">
            <w:pPr>
              <w:jc w:val="center"/>
              <w:rPr>
                <w:sz w:val="20"/>
                <w:szCs w:val="20"/>
              </w:rPr>
            </w:pPr>
          </w:p>
        </w:tc>
        <w:tc>
          <w:tcPr>
            <w:tcW w:w="1260" w:type="dxa"/>
            <w:tcBorders>
              <w:bottom w:val="double" w:sz="4" w:space="0" w:color="auto"/>
              <w:right w:val="double" w:sz="4" w:space="0" w:color="auto"/>
            </w:tcBorders>
          </w:tcPr>
          <w:p w14:paraId="2EE24D53" w14:textId="77777777" w:rsidR="00F03774" w:rsidRPr="00E465D0" w:rsidRDefault="00F03774" w:rsidP="00F03774">
            <w:pPr>
              <w:rPr>
                <w:sz w:val="18"/>
                <w:szCs w:val="18"/>
              </w:rPr>
            </w:pPr>
            <w:r w:rsidRPr="00E465D0">
              <w:rPr>
                <w:sz w:val="18"/>
                <w:szCs w:val="18"/>
              </w:rPr>
              <w:t>≥ 5 days/wk.</w:t>
            </w:r>
          </w:p>
        </w:tc>
        <w:tc>
          <w:tcPr>
            <w:tcW w:w="936" w:type="dxa"/>
            <w:tcBorders>
              <w:left w:val="double" w:sz="4" w:space="0" w:color="auto"/>
              <w:bottom w:val="double" w:sz="4" w:space="0" w:color="auto"/>
            </w:tcBorders>
            <w:shd w:val="clear" w:color="auto" w:fill="D9D9D9" w:themeFill="background1" w:themeFillShade="D9"/>
            <w:vAlign w:val="bottom"/>
          </w:tcPr>
          <w:p w14:paraId="3ABD483D" w14:textId="1A462C62" w:rsidR="00F03774" w:rsidRPr="005D4542" w:rsidRDefault="00F03774" w:rsidP="00F03774">
            <w:pPr>
              <w:jc w:val="right"/>
              <w:rPr>
                <w:sz w:val="22"/>
                <w:szCs w:val="22"/>
              </w:rPr>
            </w:pPr>
            <w:r w:rsidRPr="005D4542">
              <w:rPr>
                <w:sz w:val="22"/>
                <w:szCs w:val="22"/>
              </w:rPr>
              <w:t>2.16</w:t>
            </w:r>
          </w:p>
        </w:tc>
        <w:tc>
          <w:tcPr>
            <w:tcW w:w="937" w:type="dxa"/>
            <w:gridSpan w:val="2"/>
            <w:tcBorders>
              <w:bottom w:val="double" w:sz="4" w:space="0" w:color="auto"/>
              <w:right w:val="single" w:sz="12" w:space="0" w:color="auto"/>
            </w:tcBorders>
            <w:shd w:val="clear" w:color="auto" w:fill="D9D9D9" w:themeFill="background1" w:themeFillShade="D9"/>
            <w:vAlign w:val="bottom"/>
          </w:tcPr>
          <w:p w14:paraId="0A8912E5" w14:textId="4A65BBA0" w:rsidR="00F03774" w:rsidRPr="005D4542" w:rsidRDefault="00F03774" w:rsidP="00F03774">
            <w:pPr>
              <w:jc w:val="right"/>
              <w:rPr>
                <w:sz w:val="22"/>
                <w:szCs w:val="22"/>
              </w:rPr>
            </w:pPr>
            <w:r w:rsidRPr="005D4542">
              <w:rPr>
                <w:sz w:val="22"/>
                <w:szCs w:val="22"/>
              </w:rPr>
              <w:t>-1.5</w:t>
            </w:r>
          </w:p>
        </w:tc>
        <w:tc>
          <w:tcPr>
            <w:tcW w:w="937" w:type="dxa"/>
            <w:tcBorders>
              <w:left w:val="single" w:sz="12" w:space="0" w:color="auto"/>
              <w:bottom w:val="double" w:sz="4" w:space="0" w:color="auto"/>
            </w:tcBorders>
            <w:vAlign w:val="bottom"/>
          </w:tcPr>
          <w:p w14:paraId="47A6A0A6" w14:textId="77A29D1C" w:rsidR="00F03774" w:rsidRPr="005D4542" w:rsidRDefault="00F03774" w:rsidP="00F03774">
            <w:pPr>
              <w:jc w:val="right"/>
              <w:rPr>
                <w:sz w:val="22"/>
                <w:szCs w:val="22"/>
              </w:rPr>
            </w:pPr>
            <w:r w:rsidRPr="005D4542">
              <w:rPr>
                <w:sz w:val="22"/>
                <w:szCs w:val="22"/>
              </w:rPr>
              <w:t>3.08</w:t>
            </w:r>
          </w:p>
        </w:tc>
        <w:tc>
          <w:tcPr>
            <w:tcW w:w="936" w:type="dxa"/>
            <w:tcBorders>
              <w:bottom w:val="double" w:sz="4" w:space="0" w:color="auto"/>
              <w:right w:val="double" w:sz="4" w:space="0" w:color="auto"/>
            </w:tcBorders>
            <w:vAlign w:val="bottom"/>
          </w:tcPr>
          <w:p w14:paraId="5E6DE8C1" w14:textId="19C4CD02" w:rsidR="00F03774" w:rsidRPr="005D4542" w:rsidRDefault="00F03774" w:rsidP="00F03774">
            <w:pPr>
              <w:jc w:val="right"/>
              <w:rPr>
                <w:sz w:val="22"/>
                <w:szCs w:val="22"/>
              </w:rPr>
            </w:pPr>
            <w:r w:rsidRPr="005D4542">
              <w:rPr>
                <w:sz w:val="22"/>
                <w:szCs w:val="22"/>
              </w:rPr>
              <w:t>5.1</w:t>
            </w:r>
          </w:p>
        </w:tc>
        <w:tc>
          <w:tcPr>
            <w:tcW w:w="937" w:type="dxa"/>
            <w:gridSpan w:val="2"/>
            <w:tcBorders>
              <w:left w:val="double" w:sz="4" w:space="0" w:color="auto"/>
              <w:bottom w:val="double" w:sz="4" w:space="0" w:color="auto"/>
              <w:right w:val="single" w:sz="4" w:space="0" w:color="auto"/>
            </w:tcBorders>
            <w:shd w:val="clear" w:color="auto" w:fill="D9D9D9" w:themeFill="background1" w:themeFillShade="D9"/>
            <w:vAlign w:val="bottom"/>
          </w:tcPr>
          <w:p w14:paraId="398715E5" w14:textId="59CD8D7B" w:rsidR="00F03774" w:rsidRPr="005D4542" w:rsidRDefault="00F03774" w:rsidP="00F03774">
            <w:pPr>
              <w:jc w:val="right"/>
              <w:rPr>
                <w:sz w:val="22"/>
                <w:szCs w:val="22"/>
              </w:rPr>
            </w:pPr>
            <w:r w:rsidRPr="005D4542">
              <w:rPr>
                <w:sz w:val="22"/>
                <w:szCs w:val="22"/>
              </w:rPr>
              <w:t>3.92</w:t>
            </w:r>
          </w:p>
        </w:tc>
        <w:tc>
          <w:tcPr>
            <w:tcW w:w="937" w:type="dxa"/>
            <w:tcBorders>
              <w:left w:val="single" w:sz="4" w:space="0" w:color="auto"/>
              <w:bottom w:val="double" w:sz="4" w:space="0" w:color="auto"/>
              <w:right w:val="single" w:sz="12" w:space="0" w:color="auto"/>
            </w:tcBorders>
            <w:shd w:val="clear" w:color="auto" w:fill="D9D9D9" w:themeFill="background1" w:themeFillShade="D9"/>
            <w:vAlign w:val="bottom"/>
          </w:tcPr>
          <w:p w14:paraId="0E5FCD9B" w14:textId="10C4A231" w:rsidR="00F03774" w:rsidRPr="005D4542" w:rsidRDefault="00F03774" w:rsidP="00F03774">
            <w:pPr>
              <w:jc w:val="right"/>
              <w:rPr>
                <w:sz w:val="22"/>
                <w:szCs w:val="22"/>
              </w:rPr>
            </w:pPr>
            <w:r w:rsidRPr="005D4542">
              <w:rPr>
                <w:sz w:val="22"/>
                <w:szCs w:val="22"/>
              </w:rPr>
              <w:t>-0.5</w:t>
            </w:r>
          </w:p>
        </w:tc>
        <w:tc>
          <w:tcPr>
            <w:tcW w:w="936" w:type="dxa"/>
            <w:tcBorders>
              <w:left w:val="single" w:sz="12" w:space="0" w:color="auto"/>
              <w:bottom w:val="double" w:sz="4" w:space="0" w:color="auto"/>
              <w:right w:val="single" w:sz="4" w:space="0" w:color="auto"/>
            </w:tcBorders>
            <w:vAlign w:val="bottom"/>
          </w:tcPr>
          <w:p w14:paraId="0C5F7DDE" w14:textId="1F1E450B" w:rsidR="00F03774" w:rsidRPr="005D4542" w:rsidRDefault="00F03774" w:rsidP="00F03774">
            <w:pPr>
              <w:jc w:val="right"/>
              <w:rPr>
                <w:sz w:val="22"/>
                <w:szCs w:val="22"/>
              </w:rPr>
            </w:pPr>
            <w:r w:rsidRPr="005D4542">
              <w:rPr>
                <w:sz w:val="22"/>
                <w:szCs w:val="22"/>
              </w:rPr>
              <w:t>5.47</w:t>
            </w:r>
          </w:p>
        </w:tc>
        <w:tc>
          <w:tcPr>
            <w:tcW w:w="937" w:type="dxa"/>
            <w:gridSpan w:val="2"/>
            <w:tcBorders>
              <w:left w:val="single" w:sz="4" w:space="0" w:color="auto"/>
              <w:bottom w:val="double" w:sz="4" w:space="0" w:color="auto"/>
              <w:right w:val="double" w:sz="4" w:space="0" w:color="auto"/>
            </w:tcBorders>
            <w:vAlign w:val="bottom"/>
          </w:tcPr>
          <w:p w14:paraId="466C56DC" w14:textId="57E3A037" w:rsidR="00F03774" w:rsidRPr="005D4542" w:rsidRDefault="00F03774" w:rsidP="00F03774">
            <w:pPr>
              <w:jc w:val="right"/>
              <w:rPr>
                <w:sz w:val="22"/>
                <w:szCs w:val="22"/>
              </w:rPr>
            </w:pPr>
            <w:r w:rsidRPr="005D4542">
              <w:rPr>
                <w:sz w:val="22"/>
                <w:szCs w:val="22"/>
              </w:rPr>
              <w:t>3.6</w:t>
            </w:r>
          </w:p>
        </w:tc>
        <w:tc>
          <w:tcPr>
            <w:tcW w:w="937" w:type="dxa"/>
            <w:tcBorders>
              <w:left w:val="double" w:sz="4" w:space="0" w:color="auto"/>
              <w:bottom w:val="double" w:sz="4" w:space="0" w:color="auto"/>
            </w:tcBorders>
            <w:shd w:val="clear" w:color="auto" w:fill="D9D9D9" w:themeFill="background1" w:themeFillShade="D9"/>
            <w:vAlign w:val="bottom"/>
          </w:tcPr>
          <w:p w14:paraId="454D0C04" w14:textId="05AD3BB6" w:rsidR="00F03774" w:rsidRPr="005D4542" w:rsidRDefault="00F03774" w:rsidP="00F03774">
            <w:pPr>
              <w:jc w:val="right"/>
              <w:rPr>
                <w:sz w:val="22"/>
                <w:szCs w:val="22"/>
              </w:rPr>
            </w:pPr>
            <w:r w:rsidRPr="005D4542">
              <w:rPr>
                <w:sz w:val="22"/>
                <w:szCs w:val="22"/>
              </w:rPr>
              <w:t>3.91</w:t>
            </w:r>
          </w:p>
        </w:tc>
        <w:tc>
          <w:tcPr>
            <w:tcW w:w="936" w:type="dxa"/>
            <w:tcBorders>
              <w:bottom w:val="double" w:sz="4" w:space="0" w:color="auto"/>
              <w:right w:val="single" w:sz="12" w:space="0" w:color="auto"/>
            </w:tcBorders>
            <w:shd w:val="clear" w:color="auto" w:fill="D9D9D9" w:themeFill="background1" w:themeFillShade="D9"/>
            <w:vAlign w:val="bottom"/>
          </w:tcPr>
          <w:p w14:paraId="37D2C3FB" w14:textId="44965362" w:rsidR="00F03774" w:rsidRPr="005D4542" w:rsidRDefault="00F03774" w:rsidP="00F03774">
            <w:pPr>
              <w:jc w:val="right"/>
              <w:rPr>
                <w:sz w:val="22"/>
                <w:szCs w:val="22"/>
              </w:rPr>
            </w:pPr>
            <w:r w:rsidRPr="005D4542">
              <w:rPr>
                <w:sz w:val="22"/>
                <w:szCs w:val="22"/>
              </w:rPr>
              <w:t>-0.6</w:t>
            </w:r>
          </w:p>
        </w:tc>
        <w:tc>
          <w:tcPr>
            <w:tcW w:w="937" w:type="dxa"/>
            <w:gridSpan w:val="2"/>
            <w:tcBorders>
              <w:left w:val="single" w:sz="12" w:space="0" w:color="auto"/>
              <w:bottom w:val="double" w:sz="4" w:space="0" w:color="auto"/>
              <w:right w:val="single" w:sz="4" w:space="0" w:color="auto"/>
            </w:tcBorders>
            <w:vAlign w:val="bottom"/>
          </w:tcPr>
          <w:p w14:paraId="2BB53573" w14:textId="4EC53993" w:rsidR="00F03774" w:rsidRPr="005D4542" w:rsidRDefault="00F03774" w:rsidP="00F03774">
            <w:pPr>
              <w:jc w:val="right"/>
              <w:rPr>
                <w:sz w:val="22"/>
                <w:szCs w:val="22"/>
              </w:rPr>
            </w:pPr>
            <w:r w:rsidRPr="005D4542">
              <w:rPr>
                <w:sz w:val="22"/>
                <w:szCs w:val="22"/>
              </w:rPr>
              <w:t>5.48</w:t>
            </w:r>
          </w:p>
        </w:tc>
        <w:tc>
          <w:tcPr>
            <w:tcW w:w="937" w:type="dxa"/>
            <w:tcBorders>
              <w:left w:val="single" w:sz="4" w:space="0" w:color="auto"/>
              <w:bottom w:val="double" w:sz="4" w:space="0" w:color="auto"/>
              <w:right w:val="double" w:sz="4" w:space="0" w:color="auto"/>
            </w:tcBorders>
            <w:vAlign w:val="bottom"/>
          </w:tcPr>
          <w:p w14:paraId="61D03845" w14:textId="1DB50A1B" w:rsidR="00F03774" w:rsidRPr="005D4542" w:rsidRDefault="00F03774" w:rsidP="00F03774">
            <w:pPr>
              <w:jc w:val="right"/>
              <w:rPr>
                <w:sz w:val="22"/>
                <w:szCs w:val="22"/>
              </w:rPr>
            </w:pPr>
            <w:r w:rsidRPr="005D4542">
              <w:rPr>
                <w:sz w:val="22"/>
                <w:szCs w:val="22"/>
              </w:rPr>
              <w:t>3.2</w:t>
            </w:r>
          </w:p>
        </w:tc>
      </w:tr>
    </w:tbl>
    <w:p w14:paraId="32D7AF36" w14:textId="77777777" w:rsidR="00E465D0" w:rsidRPr="00E465D0" w:rsidRDefault="00E465D0" w:rsidP="00E465D0"/>
    <w:p w14:paraId="43C3FB79" w14:textId="77777777" w:rsidR="00E465D0" w:rsidRPr="00E465D0" w:rsidRDefault="00E465D0" w:rsidP="00C2241C">
      <w:pPr>
        <w:jc w:val="left"/>
        <w:sectPr w:rsidR="00E465D0" w:rsidRPr="00E465D0" w:rsidSect="00E465D0">
          <w:pgSz w:w="15840" w:h="12240" w:orient="landscape"/>
          <w:pgMar w:top="1440" w:right="1440" w:bottom="1440" w:left="1440" w:header="720" w:footer="720" w:gutter="0"/>
          <w:cols w:space="720"/>
          <w:docGrid w:linePitch="360"/>
        </w:sectPr>
      </w:pPr>
    </w:p>
    <w:p w14:paraId="60A7A1EC" w14:textId="3F413C43" w:rsidR="004128E0" w:rsidRPr="00E465D0" w:rsidRDefault="004128E0" w:rsidP="000D7D04">
      <w:pPr>
        <w:pStyle w:val="Heading1"/>
        <w:numPr>
          <w:ilvl w:val="0"/>
          <w:numId w:val="0"/>
        </w:numPr>
        <w:ind w:left="360" w:hanging="360"/>
      </w:pPr>
      <w:r w:rsidRPr="00E465D0">
        <w:lastRenderedPageBreak/>
        <w:t>Appendix A</w:t>
      </w:r>
    </w:p>
    <w:p w14:paraId="36B0F4BE" w14:textId="23038076" w:rsidR="004128E0" w:rsidRPr="00E465D0" w:rsidRDefault="004128E0" w:rsidP="00C2241C">
      <w:r w:rsidRPr="00E465D0">
        <w:t>The comprehensive breakdowns of activity purposes, categorized from the travel diary within the TBI dataset, are outlined below:</w:t>
      </w:r>
    </w:p>
    <w:p w14:paraId="261C28D4" w14:textId="0E4ABB09" w:rsidR="004128E0" w:rsidRPr="00E465D0" w:rsidRDefault="004128E0" w:rsidP="00C2241C">
      <w:r w:rsidRPr="00E465D0">
        <w:t>Maintenance Activities:</w:t>
      </w:r>
    </w:p>
    <w:p w14:paraId="63F5F35A" w14:textId="6D773373" w:rsidR="004128E0"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Errand without appointment (e.g., post office)</w:t>
      </w:r>
    </w:p>
    <w:p w14:paraId="10FDAADB" w14:textId="70F7869F"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Grocery shopping</w:t>
      </w:r>
    </w:p>
    <w:p w14:paraId="62F46EA1" w14:textId="5C925549"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Other routine shopping (e.g., pharmacy)</w:t>
      </w:r>
    </w:p>
    <w:p w14:paraId="74DEAC8E" w14:textId="69D53C8B"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Medical visit (e.g., doctor, dentist)</w:t>
      </w:r>
    </w:p>
    <w:p w14:paraId="34808FD7" w14:textId="3863A9B3"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Drop someone off</w:t>
      </w:r>
    </w:p>
    <w:p w14:paraId="62720E91" w14:textId="0FEA22B4"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Pick someone up</w:t>
      </w:r>
    </w:p>
    <w:p w14:paraId="24421375" w14:textId="357EA042"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BOTH pick up AND drop off</w:t>
      </w:r>
    </w:p>
    <w:p w14:paraId="55D6D187" w14:textId="067A6607"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Accompany someone only (e.g., go along for the ride)</w:t>
      </w:r>
    </w:p>
    <w:p w14:paraId="3AC58188" w14:textId="150D1B41"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Got gas</w:t>
      </w:r>
    </w:p>
    <w:p w14:paraId="32DB561E" w14:textId="43FD0DD9"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Errand with appointment (e.g., haircut)</w:t>
      </w:r>
    </w:p>
    <w:p w14:paraId="5E0904CA" w14:textId="20A54249"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Other shopping or errand (e.g., pharmacy, post office)</w:t>
      </w:r>
    </w:p>
    <w:p w14:paraId="7EEC9EF7" w14:textId="280419D0"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Shopping for major item (e.g., furniture, car)</w:t>
      </w:r>
    </w:p>
    <w:p w14:paraId="25B2EDDC" w14:textId="5013708F"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Other activity only (e.g., attend meeting, pick-up or drop-off item)</w:t>
      </w:r>
    </w:p>
    <w:p w14:paraId="14D20C8C" w14:textId="2F8FB1B8" w:rsidR="00D452DA" w:rsidRPr="00E465D0" w:rsidRDefault="00D452DA" w:rsidP="00C2241C">
      <w:pPr>
        <w:pStyle w:val="ListParagraph"/>
        <w:numPr>
          <w:ilvl w:val="0"/>
          <w:numId w:val="9"/>
        </w:numPr>
        <w:spacing w:line="240" w:lineRule="auto"/>
        <w:rPr>
          <w:rFonts w:ascii="Times New Roman" w:hAnsi="Times New Roman"/>
          <w:sz w:val="24"/>
          <w:szCs w:val="24"/>
        </w:rPr>
      </w:pPr>
      <w:r w:rsidRPr="00E465D0">
        <w:rPr>
          <w:rFonts w:ascii="Times New Roman" w:hAnsi="Times New Roman"/>
          <w:sz w:val="24"/>
          <w:szCs w:val="24"/>
        </w:rPr>
        <w:t>Changed or transferred mode (e.g., waited for bus, drove onto ferry)</w:t>
      </w:r>
    </w:p>
    <w:p w14:paraId="36A1B530" w14:textId="78065DA3" w:rsidR="00D452DA" w:rsidRPr="00E465D0" w:rsidRDefault="00D452DA" w:rsidP="000D7D04">
      <w:r w:rsidRPr="00E465D0">
        <w:t>Leisure Activities:</w:t>
      </w:r>
    </w:p>
    <w:p w14:paraId="20A39D10" w14:textId="46DCA715"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Exercise or recreation (e.g., gym, jog, bike, walk dog)</w:t>
      </w:r>
    </w:p>
    <w:p w14:paraId="1A02AD78" w14:textId="23D77EBB"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Social activity (e.g., visit friends/relatives)</w:t>
      </w:r>
    </w:p>
    <w:p w14:paraId="1D25978A" w14:textId="6CE32BE1"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Dined out, got coffee or take-out</w:t>
      </w:r>
    </w:p>
    <w:p w14:paraId="621740AF" w14:textId="7DCA51F6"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Leisure/entertainment/cultural (e.g., cinema, museum, park)</w:t>
      </w:r>
    </w:p>
    <w:p w14:paraId="55B758CE" w14:textId="2204639D"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Volunteering</w:t>
      </w:r>
    </w:p>
    <w:p w14:paraId="1D6E381B" w14:textId="08619FDB"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Went to another residence (e.g., someone else's home, second home)</w:t>
      </w:r>
    </w:p>
    <w:p w14:paraId="243E46B0" w14:textId="322079CA"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Religious/civic/volunteer activity</w:t>
      </w:r>
    </w:p>
    <w:p w14:paraId="22ECFE58" w14:textId="0CA6D2A8"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Went to temporary lodging (e.g., hotel, vacation rental)</w:t>
      </w:r>
    </w:p>
    <w:p w14:paraId="76EC1BF8" w14:textId="251055A6"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Attend other type of class (e.g., cooking classes)</w:t>
      </w:r>
    </w:p>
    <w:p w14:paraId="00F452C9" w14:textId="4B1724B5"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Other leisure activity</w:t>
      </w:r>
    </w:p>
    <w:p w14:paraId="51E81DC7" w14:textId="0E69ED71"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Attend vocational education class</w:t>
      </w:r>
    </w:p>
    <w:p w14:paraId="10C6B17D" w14:textId="738F536A" w:rsidR="00D452DA" w:rsidRPr="00E465D0" w:rsidRDefault="00D452DA" w:rsidP="00C2241C">
      <w:pPr>
        <w:pStyle w:val="ListParagraph"/>
        <w:numPr>
          <w:ilvl w:val="0"/>
          <w:numId w:val="10"/>
        </w:numPr>
        <w:spacing w:line="240" w:lineRule="auto"/>
        <w:rPr>
          <w:rFonts w:ascii="Times New Roman" w:hAnsi="Times New Roman"/>
          <w:sz w:val="24"/>
          <w:szCs w:val="24"/>
        </w:rPr>
      </w:pPr>
      <w:r w:rsidRPr="00E465D0">
        <w:rPr>
          <w:rFonts w:ascii="Times New Roman" w:hAnsi="Times New Roman"/>
          <w:sz w:val="24"/>
          <w:szCs w:val="24"/>
        </w:rPr>
        <w:t>Family activity (e.g., watch child's game)</w:t>
      </w:r>
    </w:p>
    <w:p w14:paraId="64C7CB7C" w14:textId="77777777" w:rsidR="004128E0" w:rsidRPr="00464D7F" w:rsidRDefault="004128E0" w:rsidP="000D7D04"/>
    <w:sectPr w:rsidR="004128E0" w:rsidRPr="00464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E269" w14:textId="77777777" w:rsidR="002A61FF" w:rsidRDefault="002A61FF" w:rsidP="00823364">
      <w:pPr>
        <w:spacing w:after="0"/>
      </w:pPr>
      <w:r>
        <w:separator/>
      </w:r>
    </w:p>
  </w:endnote>
  <w:endnote w:type="continuationSeparator" w:id="0">
    <w:p w14:paraId="0B3DD863" w14:textId="77777777" w:rsidR="002A61FF" w:rsidRDefault="002A61FF" w:rsidP="00823364">
      <w:pPr>
        <w:spacing w:after="0"/>
      </w:pPr>
      <w:r>
        <w:continuationSeparator/>
      </w:r>
    </w:p>
  </w:endnote>
  <w:endnote w:type="continuationNotice" w:id="1">
    <w:p w14:paraId="30DF622D" w14:textId="77777777" w:rsidR="002A61FF" w:rsidRDefault="002A61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57852"/>
      <w:docPartObj>
        <w:docPartGallery w:val="Page Numbers (Bottom of Page)"/>
        <w:docPartUnique/>
      </w:docPartObj>
    </w:sdtPr>
    <w:sdtEndPr>
      <w:rPr>
        <w:noProof/>
        <w:sz w:val="22"/>
        <w:szCs w:val="22"/>
      </w:rPr>
    </w:sdtEndPr>
    <w:sdtContent>
      <w:p w14:paraId="611149ED" w14:textId="1399FB49" w:rsidR="00AB55F1" w:rsidRPr="00AB55F1" w:rsidRDefault="00AB55F1" w:rsidP="00AB55F1">
        <w:pPr>
          <w:pStyle w:val="Footer"/>
          <w:jc w:val="center"/>
          <w:rPr>
            <w:sz w:val="22"/>
            <w:szCs w:val="22"/>
          </w:rPr>
        </w:pPr>
        <w:r w:rsidRPr="00AB55F1">
          <w:rPr>
            <w:sz w:val="22"/>
            <w:szCs w:val="22"/>
          </w:rPr>
          <w:fldChar w:fldCharType="begin"/>
        </w:r>
        <w:r w:rsidRPr="00AB55F1">
          <w:rPr>
            <w:sz w:val="22"/>
            <w:szCs w:val="22"/>
          </w:rPr>
          <w:instrText xml:space="preserve"> PAGE   \* MERGEFORMAT </w:instrText>
        </w:r>
        <w:r w:rsidRPr="00AB55F1">
          <w:rPr>
            <w:sz w:val="22"/>
            <w:szCs w:val="22"/>
          </w:rPr>
          <w:fldChar w:fldCharType="separate"/>
        </w:r>
        <w:r w:rsidRPr="00AB55F1">
          <w:rPr>
            <w:noProof/>
            <w:sz w:val="22"/>
            <w:szCs w:val="22"/>
          </w:rPr>
          <w:t>2</w:t>
        </w:r>
        <w:r w:rsidRPr="00AB55F1">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429879"/>
      <w:docPartObj>
        <w:docPartGallery w:val="Page Numbers (Bottom of Page)"/>
        <w:docPartUnique/>
      </w:docPartObj>
    </w:sdtPr>
    <w:sdtEndPr>
      <w:rPr>
        <w:noProof/>
        <w:sz w:val="22"/>
        <w:szCs w:val="22"/>
      </w:rPr>
    </w:sdtEndPr>
    <w:sdtContent>
      <w:p w14:paraId="448FDF3F" w14:textId="2B938D67" w:rsidR="00E465D0" w:rsidRPr="00254B1A" w:rsidRDefault="00E465D0" w:rsidP="003730C2">
        <w:pPr>
          <w:pStyle w:val="Footer"/>
          <w:jc w:val="center"/>
          <w:rPr>
            <w:sz w:val="22"/>
            <w:szCs w:val="22"/>
          </w:rPr>
        </w:pPr>
        <w:r w:rsidRPr="00254B1A">
          <w:rPr>
            <w:sz w:val="22"/>
            <w:szCs w:val="22"/>
          </w:rPr>
          <w:fldChar w:fldCharType="begin"/>
        </w:r>
        <w:r w:rsidRPr="00254B1A">
          <w:rPr>
            <w:sz w:val="22"/>
            <w:szCs w:val="22"/>
          </w:rPr>
          <w:instrText xml:space="preserve"> PAGE   \* MERGEFORMAT </w:instrText>
        </w:r>
        <w:r w:rsidRPr="00254B1A">
          <w:rPr>
            <w:sz w:val="22"/>
            <w:szCs w:val="22"/>
          </w:rPr>
          <w:fldChar w:fldCharType="separate"/>
        </w:r>
        <w:r w:rsidRPr="00254B1A">
          <w:rPr>
            <w:noProof/>
            <w:sz w:val="22"/>
            <w:szCs w:val="22"/>
          </w:rPr>
          <w:t>2</w:t>
        </w:r>
        <w:r w:rsidRPr="00254B1A">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4DF2" w14:textId="77777777" w:rsidR="002A61FF" w:rsidRDefault="002A61FF" w:rsidP="00823364">
      <w:pPr>
        <w:spacing w:after="0"/>
      </w:pPr>
      <w:r>
        <w:separator/>
      </w:r>
    </w:p>
  </w:footnote>
  <w:footnote w:type="continuationSeparator" w:id="0">
    <w:p w14:paraId="62843F59" w14:textId="77777777" w:rsidR="002A61FF" w:rsidRDefault="002A61FF" w:rsidP="00823364">
      <w:pPr>
        <w:spacing w:after="0"/>
      </w:pPr>
      <w:r>
        <w:continuationSeparator/>
      </w:r>
    </w:p>
  </w:footnote>
  <w:footnote w:type="continuationNotice" w:id="1">
    <w:p w14:paraId="571A4D9C" w14:textId="77777777" w:rsidR="002A61FF" w:rsidRDefault="002A61FF">
      <w:pPr>
        <w:spacing w:after="0"/>
      </w:pPr>
    </w:p>
  </w:footnote>
  <w:footnote w:id="2">
    <w:p w14:paraId="7571595F" w14:textId="112D6504" w:rsidR="000A55EF" w:rsidRPr="00167EAB" w:rsidRDefault="000A55EF" w:rsidP="000A55EF">
      <w:pPr>
        <w:pStyle w:val="FootnoteText"/>
      </w:pPr>
      <w:r w:rsidRPr="00167EAB">
        <w:rPr>
          <w:rStyle w:val="FootnoteReference"/>
        </w:rPr>
        <w:footnoteRef/>
      </w:r>
      <w:r>
        <w:t xml:space="preserve"> </w:t>
      </w:r>
      <w:r w:rsidRPr="00167EAB">
        <w:t xml:space="preserve">The verbiage </w:t>
      </w:r>
      <w:r w:rsidRPr="00314F9F">
        <w:t xml:space="preserve">“primarily worked from </w:t>
      </w:r>
      <w:r>
        <w:t>a remote location</w:t>
      </w:r>
      <w:r w:rsidRPr="00314F9F">
        <w:t xml:space="preserve">” </w:t>
      </w:r>
      <w:r>
        <w:t xml:space="preserve">used in this sentence </w:t>
      </w:r>
      <w:r w:rsidRPr="00314F9F">
        <w:t xml:space="preserve">indicates that an employee never commuted to an in-person </w:t>
      </w:r>
      <w:r>
        <w:t>out</w:t>
      </w:r>
      <w:r w:rsidR="001B4481">
        <w:t>side</w:t>
      </w:r>
      <w:r>
        <w:t xml:space="preserve">-of-home designated </w:t>
      </w:r>
      <w:r w:rsidRPr="00314F9F">
        <w:t>workplace during the week prior to completion of the American Community Survey</w:t>
      </w:r>
      <w:r>
        <w:t xml:space="preserve"> </w:t>
      </w:r>
      <w:r w:rsidRPr="00314F9F">
        <w:t xml:space="preserve">used </w:t>
      </w:r>
      <w:r w:rsidRPr="008649C5">
        <w:t>by Coate (2021) in</w:t>
      </w:r>
      <w:r w:rsidRPr="00314F9F">
        <w:t xml:space="preserve"> the analysis. </w:t>
      </w:r>
    </w:p>
  </w:footnote>
  <w:footnote w:id="3">
    <w:p w14:paraId="1D54EA20" w14:textId="4062A44C" w:rsidR="00177C9D" w:rsidRPr="00BB4696" w:rsidRDefault="00177C9D" w:rsidP="00177C9D">
      <w:pPr>
        <w:pStyle w:val="ListParagraph"/>
        <w:spacing w:after="0" w:line="240" w:lineRule="auto"/>
        <w:ind w:left="0"/>
        <w:jc w:val="both"/>
        <w:rPr>
          <w:rFonts w:ascii="Times New Roman" w:hAnsi="Times New Roman"/>
          <w:sz w:val="20"/>
          <w:szCs w:val="20"/>
        </w:rPr>
      </w:pPr>
      <w:r w:rsidRPr="00097845">
        <w:rPr>
          <w:rStyle w:val="FootnoteReference"/>
          <w:rFonts w:ascii="Times New Roman" w:hAnsi="Times New Roman"/>
          <w:sz w:val="20"/>
          <w:szCs w:val="20"/>
        </w:rPr>
        <w:footnoteRef/>
      </w:r>
      <w:r w:rsidR="00AB55F1">
        <w:rPr>
          <w:rFonts w:ascii="Times New Roman" w:hAnsi="Times New Roman"/>
          <w:sz w:val="20"/>
          <w:szCs w:val="20"/>
        </w:rPr>
        <w:t xml:space="preserve"> </w:t>
      </w:r>
      <w:r w:rsidR="005E67BF" w:rsidRPr="00097845">
        <w:rPr>
          <w:rFonts w:ascii="Times New Roman" w:hAnsi="Times New Roman"/>
          <w:sz w:val="20"/>
          <w:szCs w:val="20"/>
        </w:rPr>
        <w:t>P</w:t>
      </w:r>
      <w:r w:rsidR="005E67BF" w:rsidRPr="00BB4696">
        <w:rPr>
          <w:rFonts w:ascii="Times New Roman" w:hAnsi="Times New Roman"/>
          <w:sz w:val="20"/>
          <w:szCs w:val="20"/>
        </w:rPr>
        <w:t xml:space="preserve">lease </w:t>
      </w:r>
      <w:r w:rsidR="005E67BF" w:rsidRPr="008649C5">
        <w:rPr>
          <w:rFonts w:ascii="Times New Roman" w:hAnsi="Times New Roman"/>
          <w:sz w:val="20"/>
          <w:szCs w:val="20"/>
        </w:rPr>
        <w:t>see Asmussen et al.</w:t>
      </w:r>
      <w:r w:rsidR="004E4139">
        <w:rPr>
          <w:rFonts w:ascii="Times New Roman" w:hAnsi="Times New Roman"/>
          <w:sz w:val="20"/>
          <w:szCs w:val="20"/>
        </w:rPr>
        <w:t xml:space="preserve"> (</w:t>
      </w:r>
      <w:r w:rsidR="005E67BF" w:rsidRPr="008649C5">
        <w:rPr>
          <w:rFonts w:ascii="Times New Roman" w:hAnsi="Times New Roman"/>
          <w:sz w:val="20"/>
          <w:szCs w:val="20"/>
        </w:rPr>
        <w:t>2024</w:t>
      </w:r>
      <w:r w:rsidR="00AB236A">
        <w:rPr>
          <w:rFonts w:ascii="Times New Roman" w:hAnsi="Times New Roman"/>
          <w:sz w:val="20"/>
          <w:szCs w:val="20"/>
        </w:rPr>
        <w:t>a</w:t>
      </w:r>
      <w:r w:rsidR="004E4139">
        <w:rPr>
          <w:rFonts w:ascii="Times New Roman" w:hAnsi="Times New Roman"/>
          <w:sz w:val="20"/>
          <w:szCs w:val="20"/>
        </w:rPr>
        <w:t>)</w:t>
      </w:r>
      <w:r w:rsidR="005E67BF" w:rsidRPr="008649C5">
        <w:rPr>
          <w:rFonts w:ascii="Times New Roman" w:hAnsi="Times New Roman"/>
          <w:sz w:val="20"/>
          <w:szCs w:val="20"/>
        </w:rPr>
        <w:t xml:space="preserve"> for a detailed discussion of the justification for the use of a latent segmentation approach (which is essentially an application of finite-mixture models) for cluster (or classification) analysis to represent different causal pathway effects. A similar approach </w:t>
      </w:r>
      <w:r w:rsidRPr="008649C5">
        <w:rPr>
          <w:rFonts w:ascii="Times New Roman" w:hAnsi="Times New Roman"/>
          <w:sz w:val="20"/>
          <w:szCs w:val="20"/>
        </w:rPr>
        <w:t xml:space="preserve">to </w:t>
      </w:r>
      <w:r w:rsidR="005E67BF" w:rsidRPr="008649C5">
        <w:rPr>
          <w:rFonts w:ascii="Times New Roman" w:hAnsi="Times New Roman"/>
          <w:sz w:val="20"/>
          <w:szCs w:val="20"/>
        </w:rPr>
        <w:t xml:space="preserve">accommodate heterogeneity across individuals in </w:t>
      </w:r>
      <w:r w:rsidRPr="008649C5">
        <w:rPr>
          <w:rFonts w:ascii="Times New Roman" w:hAnsi="Times New Roman"/>
          <w:sz w:val="20"/>
          <w:szCs w:val="20"/>
        </w:rPr>
        <w:t xml:space="preserve">the causal direction of effect </w:t>
      </w:r>
      <w:r w:rsidR="005E67BF" w:rsidRPr="008649C5">
        <w:rPr>
          <w:rFonts w:ascii="Times New Roman" w:hAnsi="Times New Roman"/>
          <w:sz w:val="20"/>
          <w:szCs w:val="20"/>
        </w:rPr>
        <w:t xml:space="preserve">has been employed in </w:t>
      </w:r>
      <w:r w:rsidRPr="008649C5">
        <w:rPr>
          <w:rFonts w:ascii="Times New Roman" w:hAnsi="Times New Roman"/>
          <w:sz w:val="20"/>
          <w:szCs w:val="20"/>
        </w:rPr>
        <w:t>Waddell et al.</w:t>
      </w:r>
      <w:r w:rsidR="00BB4696" w:rsidRPr="008649C5">
        <w:rPr>
          <w:rFonts w:ascii="Times New Roman" w:hAnsi="Times New Roman"/>
          <w:sz w:val="20"/>
          <w:szCs w:val="20"/>
        </w:rPr>
        <w:t xml:space="preserve"> (</w:t>
      </w:r>
      <w:r w:rsidRPr="008649C5">
        <w:rPr>
          <w:rFonts w:ascii="Times New Roman" w:hAnsi="Times New Roman"/>
          <w:sz w:val="20"/>
          <w:szCs w:val="20"/>
        </w:rPr>
        <w:t>2007</w:t>
      </w:r>
      <w:r w:rsidR="00BB4696" w:rsidRPr="008649C5">
        <w:rPr>
          <w:rFonts w:ascii="Times New Roman" w:hAnsi="Times New Roman"/>
          <w:sz w:val="20"/>
          <w:szCs w:val="20"/>
        </w:rPr>
        <w:t>)</w:t>
      </w:r>
      <w:r w:rsidRPr="008649C5">
        <w:rPr>
          <w:rFonts w:ascii="Times New Roman" w:hAnsi="Times New Roman"/>
          <w:sz w:val="20"/>
          <w:szCs w:val="20"/>
        </w:rPr>
        <w:t xml:space="preserve">, Angueira et al. </w:t>
      </w:r>
      <w:r w:rsidR="00BB4696" w:rsidRPr="008649C5">
        <w:rPr>
          <w:rFonts w:ascii="Times New Roman" w:hAnsi="Times New Roman"/>
          <w:sz w:val="20"/>
          <w:szCs w:val="20"/>
        </w:rPr>
        <w:t>(</w:t>
      </w:r>
      <w:r w:rsidRPr="008649C5">
        <w:rPr>
          <w:rFonts w:ascii="Times New Roman" w:hAnsi="Times New Roman"/>
          <w:sz w:val="20"/>
          <w:szCs w:val="20"/>
        </w:rPr>
        <w:t>2017</w:t>
      </w:r>
      <w:r w:rsidR="00BB4696" w:rsidRPr="008649C5">
        <w:rPr>
          <w:rFonts w:ascii="Times New Roman" w:hAnsi="Times New Roman"/>
          <w:sz w:val="20"/>
          <w:szCs w:val="20"/>
        </w:rPr>
        <w:t>)</w:t>
      </w:r>
      <w:r w:rsidRPr="008649C5">
        <w:rPr>
          <w:rFonts w:ascii="Times New Roman" w:hAnsi="Times New Roman"/>
          <w:sz w:val="20"/>
          <w:szCs w:val="20"/>
        </w:rPr>
        <w:t>, Astroza et al.</w:t>
      </w:r>
      <w:r w:rsidR="004E4139">
        <w:rPr>
          <w:rFonts w:ascii="Times New Roman" w:hAnsi="Times New Roman"/>
          <w:sz w:val="20"/>
          <w:szCs w:val="20"/>
        </w:rPr>
        <w:t xml:space="preserve"> </w:t>
      </w:r>
      <w:r w:rsidR="00BB4696" w:rsidRPr="008649C5">
        <w:rPr>
          <w:rFonts w:ascii="Times New Roman" w:hAnsi="Times New Roman"/>
          <w:sz w:val="20"/>
          <w:szCs w:val="20"/>
        </w:rPr>
        <w:t>(</w:t>
      </w:r>
      <w:r w:rsidRPr="008649C5">
        <w:rPr>
          <w:rFonts w:ascii="Times New Roman" w:hAnsi="Times New Roman"/>
          <w:sz w:val="20"/>
          <w:szCs w:val="20"/>
        </w:rPr>
        <w:t>2019</w:t>
      </w:r>
      <w:r w:rsidR="00BB4696" w:rsidRPr="008649C5">
        <w:rPr>
          <w:rFonts w:ascii="Times New Roman" w:hAnsi="Times New Roman"/>
          <w:sz w:val="20"/>
          <w:szCs w:val="20"/>
        </w:rPr>
        <w:t>)</w:t>
      </w:r>
      <w:r w:rsidRPr="008649C5">
        <w:rPr>
          <w:rFonts w:ascii="Times New Roman" w:hAnsi="Times New Roman"/>
          <w:sz w:val="20"/>
          <w:szCs w:val="20"/>
        </w:rPr>
        <w:t xml:space="preserve">, Keya et al. </w:t>
      </w:r>
      <w:r w:rsidR="00BB4696" w:rsidRPr="008649C5">
        <w:rPr>
          <w:rFonts w:ascii="Times New Roman" w:hAnsi="Times New Roman"/>
          <w:sz w:val="20"/>
          <w:szCs w:val="20"/>
        </w:rPr>
        <w:t>(</w:t>
      </w:r>
      <w:r w:rsidRPr="008649C5">
        <w:rPr>
          <w:rFonts w:ascii="Times New Roman" w:hAnsi="Times New Roman"/>
          <w:sz w:val="20"/>
          <w:szCs w:val="20"/>
        </w:rPr>
        <w:t>2021</w:t>
      </w:r>
      <w:r w:rsidR="00BB4696" w:rsidRPr="008649C5">
        <w:rPr>
          <w:rFonts w:ascii="Times New Roman" w:hAnsi="Times New Roman"/>
          <w:sz w:val="20"/>
          <w:szCs w:val="20"/>
        </w:rPr>
        <w:t>)</w:t>
      </w:r>
      <w:r w:rsidRPr="008649C5">
        <w:rPr>
          <w:rFonts w:ascii="Times New Roman" w:hAnsi="Times New Roman"/>
          <w:sz w:val="20"/>
          <w:szCs w:val="20"/>
        </w:rPr>
        <w:t xml:space="preserve">, and Batur et al. </w:t>
      </w:r>
      <w:r w:rsidR="00BB4696" w:rsidRPr="008649C5">
        <w:rPr>
          <w:rFonts w:ascii="Times New Roman" w:hAnsi="Times New Roman"/>
          <w:sz w:val="20"/>
          <w:szCs w:val="20"/>
        </w:rPr>
        <w:t>(</w:t>
      </w:r>
      <w:r w:rsidRPr="008649C5">
        <w:rPr>
          <w:rFonts w:ascii="Times New Roman" w:hAnsi="Times New Roman"/>
          <w:sz w:val="20"/>
          <w:szCs w:val="20"/>
        </w:rPr>
        <w:t>2023</w:t>
      </w:r>
      <w:r w:rsidR="00BB4696" w:rsidRPr="008649C5">
        <w:rPr>
          <w:rFonts w:ascii="Times New Roman" w:hAnsi="Times New Roman"/>
          <w:sz w:val="20"/>
          <w:szCs w:val="20"/>
        </w:rPr>
        <w:t>)</w:t>
      </w:r>
      <w:r w:rsidRPr="008649C5">
        <w:rPr>
          <w:rFonts w:ascii="Times New Roman" w:hAnsi="Times New Roman"/>
          <w:sz w:val="20"/>
          <w:szCs w:val="20"/>
        </w:rPr>
        <w:t>.</w:t>
      </w:r>
      <w:r w:rsidRPr="009017CB">
        <w:rPr>
          <w:rFonts w:ascii="Times New Roman" w:hAnsi="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D0E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CE4552"/>
    <w:multiLevelType w:val="hybridMultilevel"/>
    <w:tmpl w:val="197C3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B02141"/>
    <w:multiLevelType w:val="hybridMultilevel"/>
    <w:tmpl w:val="E72AB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237EB"/>
    <w:multiLevelType w:val="hybridMultilevel"/>
    <w:tmpl w:val="FC143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0B6688"/>
    <w:multiLevelType w:val="multilevel"/>
    <w:tmpl w:val="9DEE4F12"/>
    <w:lvl w:ilvl="0">
      <w:start w:val="1"/>
      <w:numFmt w:val="decimal"/>
      <w:pStyle w:val="Heading1"/>
      <w:lvlText w:val="%1."/>
      <w:lvlJc w:val="left"/>
      <w:pPr>
        <w:ind w:left="360" w:hanging="360"/>
      </w:pPr>
      <w:rPr>
        <w:b/>
        <w:bCs/>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1787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34F13F51"/>
    <w:multiLevelType w:val="multilevel"/>
    <w:tmpl w:val="90E6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2090E"/>
    <w:multiLevelType w:val="hybridMultilevel"/>
    <w:tmpl w:val="FA1A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2221C1"/>
    <w:multiLevelType w:val="hybridMultilevel"/>
    <w:tmpl w:val="4C4450D4"/>
    <w:lvl w:ilvl="0" w:tplc="AF340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C3F6B"/>
    <w:multiLevelType w:val="hybridMultilevel"/>
    <w:tmpl w:val="6B1EC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E2998"/>
    <w:multiLevelType w:val="multilevel"/>
    <w:tmpl w:val="448AE574"/>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9A4245"/>
    <w:multiLevelType w:val="hybridMultilevel"/>
    <w:tmpl w:val="048E37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E7181"/>
    <w:multiLevelType w:val="hybridMultilevel"/>
    <w:tmpl w:val="4538D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D2BEF"/>
    <w:multiLevelType w:val="multilevel"/>
    <w:tmpl w:val="E9980DEA"/>
    <w:lvl w:ilvl="0">
      <w:start w:val="1"/>
      <w:numFmt w:val="decimal"/>
      <w:suff w:val="space"/>
      <w:lvlText w:val="Chapter %1."/>
      <w:lvlJc w:val="center"/>
      <w:pPr>
        <w:ind w:left="0" w:firstLine="0"/>
      </w:pPr>
      <w:rPr>
        <w:rFonts w:hint="default"/>
      </w:rPr>
    </w:lvl>
    <w:lvl w:ilvl="1">
      <w:start w:val="1"/>
      <w:numFmt w:val="decimal"/>
      <w:lvlText w:val="%1.%2."/>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D843C85"/>
    <w:multiLevelType w:val="hybridMultilevel"/>
    <w:tmpl w:val="DD1E63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71770"/>
    <w:multiLevelType w:val="hybridMultilevel"/>
    <w:tmpl w:val="A600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8"/>
  </w:num>
  <w:num w:numId="5">
    <w:abstractNumId w:val="1"/>
  </w:num>
  <w:num w:numId="6">
    <w:abstractNumId w:val="7"/>
  </w:num>
  <w:num w:numId="7">
    <w:abstractNumId w:val="3"/>
  </w:num>
  <w:num w:numId="8">
    <w:abstractNumId w:val="11"/>
  </w:num>
  <w:num w:numId="9">
    <w:abstractNumId w:val="14"/>
  </w:num>
  <w:num w:numId="10">
    <w:abstractNumId w:val="9"/>
  </w:num>
  <w:num w:numId="11">
    <w:abstractNumId w:val="10"/>
  </w:num>
  <w:num w:numId="12">
    <w:abstractNumId w:val="4"/>
  </w:num>
  <w:num w:numId="13">
    <w:abstractNumId w:val="0"/>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2tDQyNDI0NLC0MLBU0lEKTi0uzszPAykwrAUAnn88oSwAAAA="/>
  </w:docVars>
  <w:rsids>
    <w:rsidRoot w:val="00371782"/>
    <w:rsid w:val="00005CEC"/>
    <w:rsid w:val="000078D6"/>
    <w:rsid w:val="00013CB8"/>
    <w:rsid w:val="00015B0B"/>
    <w:rsid w:val="00020AF8"/>
    <w:rsid w:val="00026D24"/>
    <w:rsid w:val="00027CA6"/>
    <w:rsid w:val="00027EAA"/>
    <w:rsid w:val="000344CB"/>
    <w:rsid w:val="00035CAA"/>
    <w:rsid w:val="00036130"/>
    <w:rsid w:val="00040D93"/>
    <w:rsid w:val="00045661"/>
    <w:rsid w:val="00055382"/>
    <w:rsid w:val="00055E09"/>
    <w:rsid w:val="00062EC1"/>
    <w:rsid w:val="0006500E"/>
    <w:rsid w:val="00066DAD"/>
    <w:rsid w:val="00072225"/>
    <w:rsid w:val="000734A8"/>
    <w:rsid w:val="000738A9"/>
    <w:rsid w:val="000740BB"/>
    <w:rsid w:val="000746C5"/>
    <w:rsid w:val="00074DF5"/>
    <w:rsid w:val="00075DA3"/>
    <w:rsid w:val="00081689"/>
    <w:rsid w:val="00082056"/>
    <w:rsid w:val="00084190"/>
    <w:rsid w:val="0009151C"/>
    <w:rsid w:val="000938F1"/>
    <w:rsid w:val="00096897"/>
    <w:rsid w:val="00097845"/>
    <w:rsid w:val="000A30E7"/>
    <w:rsid w:val="000A55EF"/>
    <w:rsid w:val="000A77F5"/>
    <w:rsid w:val="000A7AF4"/>
    <w:rsid w:val="000B1681"/>
    <w:rsid w:val="000B4798"/>
    <w:rsid w:val="000B7D2B"/>
    <w:rsid w:val="000C2316"/>
    <w:rsid w:val="000C6C6A"/>
    <w:rsid w:val="000D03D4"/>
    <w:rsid w:val="000D0954"/>
    <w:rsid w:val="000D0BAC"/>
    <w:rsid w:val="000D72CD"/>
    <w:rsid w:val="000D7D04"/>
    <w:rsid w:val="000E12D1"/>
    <w:rsid w:val="000E3704"/>
    <w:rsid w:val="000E4987"/>
    <w:rsid w:val="000E54D2"/>
    <w:rsid w:val="000E7EEA"/>
    <w:rsid w:val="000F09FA"/>
    <w:rsid w:val="000F3A19"/>
    <w:rsid w:val="00100826"/>
    <w:rsid w:val="00105234"/>
    <w:rsid w:val="001136A2"/>
    <w:rsid w:val="001157C7"/>
    <w:rsid w:val="00122B26"/>
    <w:rsid w:val="00125A78"/>
    <w:rsid w:val="00125DA9"/>
    <w:rsid w:val="00134836"/>
    <w:rsid w:val="001426DA"/>
    <w:rsid w:val="00152321"/>
    <w:rsid w:val="00153A6A"/>
    <w:rsid w:val="001605E3"/>
    <w:rsid w:val="0016396E"/>
    <w:rsid w:val="00164EA3"/>
    <w:rsid w:val="001728E2"/>
    <w:rsid w:val="001737EC"/>
    <w:rsid w:val="00173897"/>
    <w:rsid w:val="00173B46"/>
    <w:rsid w:val="00173ED2"/>
    <w:rsid w:val="001748FE"/>
    <w:rsid w:val="00177C9D"/>
    <w:rsid w:val="001816F4"/>
    <w:rsid w:val="00182177"/>
    <w:rsid w:val="0018242F"/>
    <w:rsid w:val="00182BB2"/>
    <w:rsid w:val="0018578B"/>
    <w:rsid w:val="00191600"/>
    <w:rsid w:val="00191B10"/>
    <w:rsid w:val="001961BB"/>
    <w:rsid w:val="001B4481"/>
    <w:rsid w:val="001B75A9"/>
    <w:rsid w:val="001C381C"/>
    <w:rsid w:val="001C6282"/>
    <w:rsid w:val="001C75FD"/>
    <w:rsid w:val="001C7841"/>
    <w:rsid w:val="001C7B05"/>
    <w:rsid w:val="001E028E"/>
    <w:rsid w:val="001E243B"/>
    <w:rsid w:val="001E3DB4"/>
    <w:rsid w:val="001E5292"/>
    <w:rsid w:val="001F0C25"/>
    <w:rsid w:val="001F21A5"/>
    <w:rsid w:val="001F29E2"/>
    <w:rsid w:val="001F7A29"/>
    <w:rsid w:val="00200AA4"/>
    <w:rsid w:val="00213E6A"/>
    <w:rsid w:val="002229A7"/>
    <w:rsid w:val="002248E4"/>
    <w:rsid w:val="0023465E"/>
    <w:rsid w:val="00242AD8"/>
    <w:rsid w:val="00242B18"/>
    <w:rsid w:val="00254B1A"/>
    <w:rsid w:val="00257FC3"/>
    <w:rsid w:val="00260F8D"/>
    <w:rsid w:val="00262194"/>
    <w:rsid w:val="00276807"/>
    <w:rsid w:val="00277C7F"/>
    <w:rsid w:val="0028765A"/>
    <w:rsid w:val="00293434"/>
    <w:rsid w:val="00295547"/>
    <w:rsid w:val="00296CAA"/>
    <w:rsid w:val="002A13AB"/>
    <w:rsid w:val="002A305D"/>
    <w:rsid w:val="002A61FF"/>
    <w:rsid w:val="002A77A5"/>
    <w:rsid w:val="002B65E5"/>
    <w:rsid w:val="002C1334"/>
    <w:rsid w:val="002D09D2"/>
    <w:rsid w:val="002D4781"/>
    <w:rsid w:val="002E5699"/>
    <w:rsid w:val="002F433E"/>
    <w:rsid w:val="002F5177"/>
    <w:rsid w:val="002F7A22"/>
    <w:rsid w:val="00300070"/>
    <w:rsid w:val="003003C4"/>
    <w:rsid w:val="00300926"/>
    <w:rsid w:val="00304E49"/>
    <w:rsid w:val="00304F05"/>
    <w:rsid w:val="0030645B"/>
    <w:rsid w:val="00306B06"/>
    <w:rsid w:val="0031191E"/>
    <w:rsid w:val="003220CB"/>
    <w:rsid w:val="0032338A"/>
    <w:rsid w:val="00326BF7"/>
    <w:rsid w:val="00336996"/>
    <w:rsid w:val="00341FDD"/>
    <w:rsid w:val="003430DC"/>
    <w:rsid w:val="00350FF3"/>
    <w:rsid w:val="003512EF"/>
    <w:rsid w:val="00352ED3"/>
    <w:rsid w:val="003533DC"/>
    <w:rsid w:val="00360D25"/>
    <w:rsid w:val="00364FE9"/>
    <w:rsid w:val="00366795"/>
    <w:rsid w:val="003702F2"/>
    <w:rsid w:val="0037031C"/>
    <w:rsid w:val="00371782"/>
    <w:rsid w:val="003730C2"/>
    <w:rsid w:val="00375C3D"/>
    <w:rsid w:val="00377349"/>
    <w:rsid w:val="0038623A"/>
    <w:rsid w:val="003877FA"/>
    <w:rsid w:val="00392B23"/>
    <w:rsid w:val="0039755C"/>
    <w:rsid w:val="003A107C"/>
    <w:rsid w:val="003A53B6"/>
    <w:rsid w:val="003B037B"/>
    <w:rsid w:val="003B06CC"/>
    <w:rsid w:val="003B40AF"/>
    <w:rsid w:val="003B5BCD"/>
    <w:rsid w:val="003C5F81"/>
    <w:rsid w:val="003C70AC"/>
    <w:rsid w:val="003C7A9F"/>
    <w:rsid w:val="003D0BA2"/>
    <w:rsid w:val="003D1B81"/>
    <w:rsid w:val="003D216C"/>
    <w:rsid w:val="003D47D6"/>
    <w:rsid w:val="003D6B8E"/>
    <w:rsid w:val="003E1E42"/>
    <w:rsid w:val="003E1EB0"/>
    <w:rsid w:val="003F047B"/>
    <w:rsid w:val="003F1C34"/>
    <w:rsid w:val="003F2279"/>
    <w:rsid w:val="003F3D6F"/>
    <w:rsid w:val="003F6F24"/>
    <w:rsid w:val="00402E66"/>
    <w:rsid w:val="00406E70"/>
    <w:rsid w:val="00406E9A"/>
    <w:rsid w:val="004128E0"/>
    <w:rsid w:val="004156B2"/>
    <w:rsid w:val="00422827"/>
    <w:rsid w:val="00424164"/>
    <w:rsid w:val="00427157"/>
    <w:rsid w:val="00431A2D"/>
    <w:rsid w:val="004326D2"/>
    <w:rsid w:val="00440377"/>
    <w:rsid w:val="004409D8"/>
    <w:rsid w:val="00441ED6"/>
    <w:rsid w:val="00445A67"/>
    <w:rsid w:val="004628FC"/>
    <w:rsid w:val="00464D7F"/>
    <w:rsid w:val="004653FD"/>
    <w:rsid w:val="00465A95"/>
    <w:rsid w:val="0046611D"/>
    <w:rsid w:val="00470F1C"/>
    <w:rsid w:val="004715AE"/>
    <w:rsid w:val="0047302E"/>
    <w:rsid w:val="00477D19"/>
    <w:rsid w:val="004909CF"/>
    <w:rsid w:val="00493BAE"/>
    <w:rsid w:val="00495273"/>
    <w:rsid w:val="00496FA7"/>
    <w:rsid w:val="004A51D9"/>
    <w:rsid w:val="004B2796"/>
    <w:rsid w:val="004B4936"/>
    <w:rsid w:val="004B532A"/>
    <w:rsid w:val="004D1B35"/>
    <w:rsid w:val="004D2CEE"/>
    <w:rsid w:val="004D590A"/>
    <w:rsid w:val="004D635D"/>
    <w:rsid w:val="004D78B0"/>
    <w:rsid w:val="004E225B"/>
    <w:rsid w:val="004E2540"/>
    <w:rsid w:val="004E4139"/>
    <w:rsid w:val="004E45D0"/>
    <w:rsid w:val="004E53F8"/>
    <w:rsid w:val="004F1CA7"/>
    <w:rsid w:val="004F65E0"/>
    <w:rsid w:val="00500532"/>
    <w:rsid w:val="0050175B"/>
    <w:rsid w:val="005048C0"/>
    <w:rsid w:val="005212DD"/>
    <w:rsid w:val="00522054"/>
    <w:rsid w:val="005222FC"/>
    <w:rsid w:val="00522C3E"/>
    <w:rsid w:val="00522D68"/>
    <w:rsid w:val="00530683"/>
    <w:rsid w:val="00531306"/>
    <w:rsid w:val="00532F8F"/>
    <w:rsid w:val="00533680"/>
    <w:rsid w:val="005436DF"/>
    <w:rsid w:val="005436E3"/>
    <w:rsid w:val="00550094"/>
    <w:rsid w:val="00552996"/>
    <w:rsid w:val="0055613D"/>
    <w:rsid w:val="00556842"/>
    <w:rsid w:val="00562B44"/>
    <w:rsid w:val="00565358"/>
    <w:rsid w:val="00565700"/>
    <w:rsid w:val="00566D74"/>
    <w:rsid w:val="00575FB2"/>
    <w:rsid w:val="00584186"/>
    <w:rsid w:val="00584BDE"/>
    <w:rsid w:val="00587DB2"/>
    <w:rsid w:val="00593306"/>
    <w:rsid w:val="00593AAC"/>
    <w:rsid w:val="005951B0"/>
    <w:rsid w:val="00596B6B"/>
    <w:rsid w:val="005A1AA7"/>
    <w:rsid w:val="005A3E03"/>
    <w:rsid w:val="005A3E4E"/>
    <w:rsid w:val="005A42FD"/>
    <w:rsid w:val="005B0E7D"/>
    <w:rsid w:val="005B31CF"/>
    <w:rsid w:val="005B3E0D"/>
    <w:rsid w:val="005B6AB4"/>
    <w:rsid w:val="005B6CC4"/>
    <w:rsid w:val="005B7DC4"/>
    <w:rsid w:val="005C0B86"/>
    <w:rsid w:val="005C1962"/>
    <w:rsid w:val="005C29FA"/>
    <w:rsid w:val="005C2B84"/>
    <w:rsid w:val="005C7AE3"/>
    <w:rsid w:val="005D2ED8"/>
    <w:rsid w:val="005D2EF8"/>
    <w:rsid w:val="005D4542"/>
    <w:rsid w:val="005E0C07"/>
    <w:rsid w:val="005E0C8D"/>
    <w:rsid w:val="005E1E07"/>
    <w:rsid w:val="005E67BF"/>
    <w:rsid w:val="005F2466"/>
    <w:rsid w:val="005F622E"/>
    <w:rsid w:val="005F6662"/>
    <w:rsid w:val="005F7005"/>
    <w:rsid w:val="00603660"/>
    <w:rsid w:val="006074C1"/>
    <w:rsid w:val="006119A9"/>
    <w:rsid w:val="00613DBF"/>
    <w:rsid w:val="006160A9"/>
    <w:rsid w:val="00616AC3"/>
    <w:rsid w:val="00620E59"/>
    <w:rsid w:val="006221E3"/>
    <w:rsid w:val="00627D65"/>
    <w:rsid w:val="00634644"/>
    <w:rsid w:val="00635217"/>
    <w:rsid w:val="0063648D"/>
    <w:rsid w:val="00637C00"/>
    <w:rsid w:val="00637E4A"/>
    <w:rsid w:val="0064255D"/>
    <w:rsid w:val="00646C55"/>
    <w:rsid w:val="00663BDE"/>
    <w:rsid w:val="00663E87"/>
    <w:rsid w:val="00664EE1"/>
    <w:rsid w:val="00667E1E"/>
    <w:rsid w:val="0067081D"/>
    <w:rsid w:val="00671916"/>
    <w:rsid w:val="006762EC"/>
    <w:rsid w:val="00681B93"/>
    <w:rsid w:val="006846DE"/>
    <w:rsid w:val="006938E7"/>
    <w:rsid w:val="00693976"/>
    <w:rsid w:val="00697406"/>
    <w:rsid w:val="00697BCF"/>
    <w:rsid w:val="00697CC6"/>
    <w:rsid w:val="006A1C17"/>
    <w:rsid w:val="006A738C"/>
    <w:rsid w:val="006B77B9"/>
    <w:rsid w:val="006D6C30"/>
    <w:rsid w:val="006D74A1"/>
    <w:rsid w:val="006E271B"/>
    <w:rsid w:val="006E3FBE"/>
    <w:rsid w:val="006E4EB6"/>
    <w:rsid w:val="006F07A3"/>
    <w:rsid w:val="006F1274"/>
    <w:rsid w:val="006F36BE"/>
    <w:rsid w:val="006F6119"/>
    <w:rsid w:val="00701E8A"/>
    <w:rsid w:val="00703A63"/>
    <w:rsid w:val="00705256"/>
    <w:rsid w:val="007056EB"/>
    <w:rsid w:val="0071111E"/>
    <w:rsid w:val="0071604D"/>
    <w:rsid w:val="00721459"/>
    <w:rsid w:val="007216AC"/>
    <w:rsid w:val="00721B01"/>
    <w:rsid w:val="0074142B"/>
    <w:rsid w:val="00745B90"/>
    <w:rsid w:val="00746474"/>
    <w:rsid w:val="00751F81"/>
    <w:rsid w:val="007525C0"/>
    <w:rsid w:val="00753B50"/>
    <w:rsid w:val="00753D9A"/>
    <w:rsid w:val="00756366"/>
    <w:rsid w:val="00764876"/>
    <w:rsid w:val="0076619E"/>
    <w:rsid w:val="00767810"/>
    <w:rsid w:val="00770898"/>
    <w:rsid w:val="007721A3"/>
    <w:rsid w:val="00772263"/>
    <w:rsid w:val="00772F6F"/>
    <w:rsid w:val="007739D9"/>
    <w:rsid w:val="0077416A"/>
    <w:rsid w:val="00774B91"/>
    <w:rsid w:val="0079546E"/>
    <w:rsid w:val="007A4303"/>
    <w:rsid w:val="007A5E58"/>
    <w:rsid w:val="007B1AFC"/>
    <w:rsid w:val="007B2E65"/>
    <w:rsid w:val="007B56C8"/>
    <w:rsid w:val="007C02DE"/>
    <w:rsid w:val="007C5233"/>
    <w:rsid w:val="007C64F7"/>
    <w:rsid w:val="007D33FF"/>
    <w:rsid w:val="007D67AC"/>
    <w:rsid w:val="007E7FBF"/>
    <w:rsid w:val="008074C5"/>
    <w:rsid w:val="00823364"/>
    <w:rsid w:val="008265B1"/>
    <w:rsid w:val="008266A6"/>
    <w:rsid w:val="00830D3B"/>
    <w:rsid w:val="008331AD"/>
    <w:rsid w:val="008411AA"/>
    <w:rsid w:val="0084438A"/>
    <w:rsid w:val="008478F9"/>
    <w:rsid w:val="00851079"/>
    <w:rsid w:val="008524A1"/>
    <w:rsid w:val="008565BB"/>
    <w:rsid w:val="008638F3"/>
    <w:rsid w:val="00863BEB"/>
    <w:rsid w:val="008649C5"/>
    <w:rsid w:val="00866914"/>
    <w:rsid w:val="00881A6F"/>
    <w:rsid w:val="00891DF7"/>
    <w:rsid w:val="00897A3A"/>
    <w:rsid w:val="00897F3A"/>
    <w:rsid w:val="008A03FB"/>
    <w:rsid w:val="008A2FF8"/>
    <w:rsid w:val="008B0261"/>
    <w:rsid w:val="008B3409"/>
    <w:rsid w:val="008B354B"/>
    <w:rsid w:val="008C2AC9"/>
    <w:rsid w:val="008C3B13"/>
    <w:rsid w:val="008C5B15"/>
    <w:rsid w:val="008D4D2B"/>
    <w:rsid w:val="008D7C53"/>
    <w:rsid w:val="008E2026"/>
    <w:rsid w:val="008E2E57"/>
    <w:rsid w:val="008E4E3E"/>
    <w:rsid w:val="008E5CE6"/>
    <w:rsid w:val="008F657B"/>
    <w:rsid w:val="008F696F"/>
    <w:rsid w:val="008F7E3B"/>
    <w:rsid w:val="009017CB"/>
    <w:rsid w:val="00902E66"/>
    <w:rsid w:val="00904FE0"/>
    <w:rsid w:val="00905349"/>
    <w:rsid w:val="00921803"/>
    <w:rsid w:val="00922D0F"/>
    <w:rsid w:val="009273A2"/>
    <w:rsid w:val="00940550"/>
    <w:rsid w:val="0094516F"/>
    <w:rsid w:val="00945BE8"/>
    <w:rsid w:val="00954A65"/>
    <w:rsid w:val="0096777D"/>
    <w:rsid w:val="0098381D"/>
    <w:rsid w:val="009A7844"/>
    <w:rsid w:val="009B3C11"/>
    <w:rsid w:val="009B71A1"/>
    <w:rsid w:val="009C0686"/>
    <w:rsid w:val="009C5C94"/>
    <w:rsid w:val="009D104C"/>
    <w:rsid w:val="009D37F0"/>
    <w:rsid w:val="009D6027"/>
    <w:rsid w:val="009E2417"/>
    <w:rsid w:val="009F2BA8"/>
    <w:rsid w:val="00A01AFB"/>
    <w:rsid w:val="00A06075"/>
    <w:rsid w:val="00A109D6"/>
    <w:rsid w:val="00A10BA3"/>
    <w:rsid w:val="00A11A4F"/>
    <w:rsid w:val="00A2119B"/>
    <w:rsid w:val="00A216EA"/>
    <w:rsid w:val="00A23F99"/>
    <w:rsid w:val="00A33042"/>
    <w:rsid w:val="00A353E2"/>
    <w:rsid w:val="00A35F23"/>
    <w:rsid w:val="00A36DCB"/>
    <w:rsid w:val="00A37094"/>
    <w:rsid w:val="00A43C29"/>
    <w:rsid w:val="00A504BA"/>
    <w:rsid w:val="00A50B12"/>
    <w:rsid w:val="00A55FA2"/>
    <w:rsid w:val="00A56D54"/>
    <w:rsid w:val="00A6307A"/>
    <w:rsid w:val="00A65510"/>
    <w:rsid w:val="00A700B5"/>
    <w:rsid w:val="00A81573"/>
    <w:rsid w:val="00A904B4"/>
    <w:rsid w:val="00AA6DAA"/>
    <w:rsid w:val="00AB236A"/>
    <w:rsid w:val="00AB55F1"/>
    <w:rsid w:val="00AB608F"/>
    <w:rsid w:val="00AB7130"/>
    <w:rsid w:val="00AC0FB2"/>
    <w:rsid w:val="00AC2320"/>
    <w:rsid w:val="00AD1BCF"/>
    <w:rsid w:val="00AD32BD"/>
    <w:rsid w:val="00AE0F6B"/>
    <w:rsid w:val="00AE281B"/>
    <w:rsid w:val="00AE7204"/>
    <w:rsid w:val="00AF0785"/>
    <w:rsid w:val="00AF155B"/>
    <w:rsid w:val="00AF290A"/>
    <w:rsid w:val="00AF2CB8"/>
    <w:rsid w:val="00B03A6B"/>
    <w:rsid w:val="00B1014E"/>
    <w:rsid w:val="00B10E15"/>
    <w:rsid w:val="00B25637"/>
    <w:rsid w:val="00B26733"/>
    <w:rsid w:val="00B267B6"/>
    <w:rsid w:val="00B35BA5"/>
    <w:rsid w:val="00B41B16"/>
    <w:rsid w:val="00B47261"/>
    <w:rsid w:val="00B51105"/>
    <w:rsid w:val="00B5213C"/>
    <w:rsid w:val="00B61153"/>
    <w:rsid w:val="00B6594B"/>
    <w:rsid w:val="00B71096"/>
    <w:rsid w:val="00B8253A"/>
    <w:rsid w:val="00B8737B"/>
    <w:rsid w:val="00B9123A"/>
    <w:rsid w:val="00B91740"/>
    <w:rsid w:val="00B93785"/>
    <w:rsid w:val="00B95258"/>
    <w:rsid w:val="00B96083"/>
    <w:rsid w:val="00B962D2"/>
    <w:rsid w:val="00B97F28"/>
    <w:rsid w:val="00BA771E"/>
    <w:rsid w:val="00BB16E0"/>
    <w:rsid w:val="00BB4696"/>
    <w:rsid w:val="00BB70D6"/>
    <w:rsid w:val="00BC0DBA"/>
    <w:rsid w:val="00BC1673"/>
    <w:rsid w:val="00BC1733"/>
    <w:rsid w:val="00BC3865"/>
    <w:rsid w:val="00BD2D56"/>
    <w:rsid w:val="00BE0F21"/>
    <w:rsid w:val="00BE19EC"/>
    <w:rsid w:val="00BE21C7"/>
    <w:rsid w:val="00BE552A"/>
    <w:rsid w:val="00BF45FA"/>
    <w:rsid w:val="00BF6479"/>
    <w:rsid w:val="00BF6715"/>
    <w:rsid w:val="00BF6DDF"/>
    <w:rsid w:val="00C05243"/>
    <w:rsid w:val="00C11034"/>
    <w:rsid w:val="00C13912"/>
    <w:rsid w:val="00C13D21"/>
    <w:rsid w:val="00C164DD"/>
    <w:rsid w:val="00C21AE3"/>
    <w:rsid w:val="00C2241C"/>
    <w:rsid w:val="00C25A8B"/>
    <w:rsid w:val="00C27272"/>
    <w:rsid w:val="00C33B1B"/>
    <w:rsid w:val="00C34F34"/>
    <w:rsid w:val="00C4277B"/>
    <w:rsid w:val="00C43FBE"/>
    <w:rsid w:val="00C45218"/>
    <w:rsid w:val="00C60DC0"/>
    <w:rsid w:val="00C62662"/>
    <w:rsid w:val="00C704D9"/>
    <w:rsid w:val="00C71100"/>
    <w:rsid w:val="00C71542"/>
    <w:rsid w:val="00C73159"/>
    <w:rsid w:val="00C73A05"/>
    <w:rsid w:val="00C766E4"/>
    <w:rsid w:val="00C83365"/>
    <w:rsid w:val="00C839FF"/>
    <w:rsid w:val="00C876E9"/>
    <w:rsid w:val="00C87F09"/>
    <w:rsid w:val="00C92F8C"/>
    <w:rsid w:val="00CA179A"/>
    <w:rsid w:val="00CB1EA3"/>
    <w:rsid w:val="00CB21C3"/>
    <w:rsid w:val="00CB28A2"/>
    <w:rsid w:val="00CB327C"/>
    <w:rsid w:val="00CB4629"/>
    <w:rsid w:val="00CB4645"/>
    <w:rsid w:val="00CC0F15"/>
    <w:rsid w:val="00CC3DF4"/>
    <w:rsid w:val="00CC5614"/>
    <w:rsid w:val="00CD2912"/>
    <w:rsid w:val="00CD621C"/>
    <w:rsid w:val="00CE014E"/>
    <w:rsid w:val="00CE18A6"/>
    <w:rsid w:val="00CF0586"/>
    <w:rsid w:val="00CF1FFC"/>
    <w:rsid w:val="00D03E98"/>
    <w:rsid w:val="00D06E08"/>
    <w:rsid w:val="00D1176D"/>
    <w:rsid w:val="00D17D70"/>
    <w:rsid w:val="00D252D1"/>
    <w:rsid w:val="00D279FD"/>
    <w:rsid w:val="00D3271A"/>
    <w:rsid w:val="00D34084"/>
    <w:rsid w:val="00D40C06"/>
    <w:rsid w:val="00D43B84"/>
    <w:rsid w:val="00D43DCB"/>
    <w:rsid w:val="00D452DA"/>
    <w:rsid w:val="00D46549"/>
    <w:rsid w:val="00D56D87"/>
    <w:rsid w:val="00D57CA2"/>
    <w:rsid w:val="00D6047B"/>
    <w:rsid w:val="00D6272B"/>
    <w:rsid w:val="00D7001B"/>
    <w:rsid w:val="00D70529"/>
    <w:rsid w:val="00D81E0B"/>
    <w:rsid w:val="00D915DB"/>
    <w:rsid w:val="00D93285"/>
    <w:rsid w:val="00D947DA"/>
    <w:rsid w:val="00D94825"/>
    <w:rsid w:val="00D96BA7"/>
    <w:rsid w:val="00DA05CD"/>
    <w:rsid w:val="00DA2234"/>
    <w:rsid w:val="00DA75DB"/>
    <w:rsid w:val="00DA7E56"/>
    <w:rsid w:val="00DB336A"/>
    <w:rsid w:val="00DC0E1D"/>
    <w:rsid w:val="00DC5F9A"/>
    <w:rsid w:val="00DC7281"/>
    <w:rsid w:val="00DD453A"/>
    <w:rsid w:val="00DD5993"/>
    <w:rsid w:val="00DE3496"/>
    <w:rsid w:val="00DE48A8"/>
    <w:rsid w:val="00DE6E0D"/>
    <w:rsid w:val="00DF1740"/>
    <w:rsid w:val="00DF3353"/>
    <w:rsid w:val="00E05285"/>
    <w:rsid w:val="00E06534"/>
    <w:rsid w:val="00E12649"/>
    <w:rsid w:val="00E1441B"/>
    <w:rsid w:val="00E17CA2"/>
    <w:rsid w:val="00E17EC5"/>
    <w:rsid w:val="00E27487"/>
    <w:rsid w:val="00E3282B"/>
    <w:rsid w:val="00E34EBB"/>
    <w:rsid w:val="00E37C19"/>
    <w:rsid w:val="00E465D0"/>
    <w:rsid w:val="00E4712B"/>
    <w:rsid w:val="00E51137"/>
    <w:rsid w:val="00E54D75"/>
    <w:rsid w:val="00E627DF"/>
    <w:rsid w:val="00E65C99"/>
    <w:rsid w:val="00E67117"/>
    <w:rsid w:val="00E67290"/>
    <w:rsid w:val="00E752CF"/>
    <w:rsid w:val="00E774A5"/>
    <w:rsid w:val="00E82440"/>
    <w:rsid w:val="00E8360A"/>
    <w:rsid w:val="00E84B6A"/>
    <w:rsid w:val="00E86AF3"/>
    <w:rsid w:val="00E91952"/>
    <w:rsid w:val="00E9519D"/>
    <w:rsid w:val="00E96B32"/>
    <w:rsid w:val="00EA0FF5"/>
    <w:rsid w:val="00EA1F6C"/>
    <w:rsid w:val="00EA1FB3"/>
    <w:rsid w:val="00EA2E26"/>
    <w:rsid w:val="00EB3F3A"/>
    <w:rsid w:val="00EB76DD"/>
    <w:rsid w:val="00EC2181"/>
    <w:rsid w:val="00EC3A2B"/>
    <w:rsid w:val="00ED01CF"/>
    <w:rsid w:val="00ED1347"/>
    <w:rsid w:val="00EE064F"/>
    <w:rsid w:val="00EE10CD"/>
    <w:rsid w:val="00EE19F5"/>
    <w:rsid w:val="00EE347D"/>
    <w:rsid w:val="00EF26C9"/>
    <w:rsid w:val="00EF47F9"/>
    <w:rsid w:val="00EF7E0D"/>
    <w:rsid w:val="00F03774"/>
    <w:rsid w:val="00F1205D"/>
    <w:rsid w:val="00F12554"/>
    <w:rsid w:val="00F12F8D"/>
    <w:rsid w:val="00F16567"/>
    <w:rsid w:val="00F30076"/>
    <w:rsid w:val="00F32611"/>
    <w:rsid w:val="00F354AF"/>
    <w:rsid w:val="00F36709"/>
    <w:rsid w:val="00F46B58"/>
    <w:rsid w:val="00F50032"/>
    <w:rsid w:val="00F519BD"/>
    <w:rsid w:val="00F52917"/>
    <w:rsid w:val="00F533FA"/>
    <w:rsid w:val="00F65F97"/>
    <w:rsid w:val="00F71A46"/>
    <w:rsid w:val="00F77545"/>
    <w:rsid w:val="00F91410"/>
    <w:rsid w:val="00F944E4"/>
    <w:rsid w:val="00FA1883"/>
    <w:rsid w:val="00FA3CE7"/>
    <w:rsid w:val="00FA7294"/>
    <w:rsid w:val="00FB16EA"/>
    <w:rsid w:val="00FB2888"/>
    <w:rsid w:val="00FB2930"/>
    <w:rsid w:val="00FB406C"/>
    <w:rsid w:val="00FC1BDE"/>
    <w:rsid w:val="00FC1FBD"/>
    <w:rsid w:val="00FC4C26"/>
    <w:rsid w:val="00FD1B71"/>
    <w:rsid w:val="00FE01A2"/>
    <w:rsid w:val="00FE0D98"/>
    <w:rsid w:val="00FF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379F3"/>
  <w15:chartTrackingRefBased/>
  <w15:docId w15:val="{AAEDE5CB-6E14-4D85-89EE-ACE379F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C5"/>
    <w:pPr>
      <w:spacing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71782"/>
    <w:pPr>
      <w:keepNext/>
      <w:keepLines/>
      <w:numPr>
        <w:numId w:val="1"/>
      </w:numPr>
      <w:spacing w:before="240" w:after="0"/>
      <w:outlineLvl w:val="0"/>
    </w:pPr>
    <w:rPr>
      <w:rFonts w:eastAsiaTheme="majorEastAsia"/>
      <w:b/>
      <w:bCs/>
    </w:rPr>
  </w:style>
  <w:style w:type="paragraph" w:styleId="Heading2">
    <w:name w:val="heading 2"/>
    <w:basedOn w:val="Heading1"/>
    <w:next w:val="Normal"/>
    <w:link w:val="Heading2Char"/>
    <w:uiPriority w:val="9"/>
    <w:unhideWhenUsed/>
    <w:qFormat/>
    <w:rsid w:val="00371782"/>
    <w:pPr>
      <w:numPr>
        <w:ilvl w:val="1"/>
      </w:numPr>
      <w:ind w:left="450"/>
      <w:outlineLvl w:val="1"/>
    </w:pPr>
  </w:style>
  <w:style w:type="paragraph" w:styleId="Heading3">
    <w:name w:val="heading 3"/>
    <w:basedOn w:val="Heading2"/>
    <w:next w:val="Normal"/>
    <w:link w:val="Heading3Char"/>
    <w:uiPriority w:val="9"/>
    <w:unhideWhenUsed/>
    <w:qFormat/>
    <w:rsid w:val="004628FC"/>
    <w:pPr>
      <w:numPr>
        <w:ilvl w:val="2"/>
      </w:numPr>
      <w:spacing w:before="0"/>
      <w:ind w:left="540"/>
      <w:outlineLvl w:val="2"/>
    </w:pPr>
    <w:rPr>
      <w:b w:val="0"/>
      <w:bCs w:val="0"/>
      <w:i/>
      <w:iCs/>
    </w:rPr>
  </w:style>
  <w:style w:type="paragraph" w:styleId="Heading4">
    <w:name w:val="heading 4"/>
    <w:basedOn w:val="Normal"/>
    <w:next w:val="Normal"/>
    <w:link w:val="Heading4Char"/>
    <w:unhideWhenUsed/>
    <w:qFormat/>
    <w:rsid w:val="00E465D0"/>
    <w:pPr>
      <w:keepNext/>
      <w:keepLines/>
      <w:spacing w:before="40" w:after="0" w:line="259" w:lineRule="auto"/>
      <w:ind w:left="2880" w:hanging="360"/>
      <w:outlineLvl w:val="3"/>
    </w:pPr>
    <w:rPr>
      <w:rFonts w:eastAsiaTheme="majorEastAsia"/>
      <w:i/>
      <w:szCs w:val="22"/>
    </w:rPr>
  </w:style>
  <w:style w:type="paragraph" w:styleId="Heading5">
    <w:name w:val="heading 5"/>
    <w:basedOn w:val="Normal"/>
    <w:next w:val="Normal"/>
    <w:link w:val="Heading5Char"/>
    <w:uiPriority w:val="9"/>
    <w:semiHidden/>
    <w:unhideWhenUsed/>
    <w:qFormat/>
    <w:rsid w:val="00E465D0"/>
    <w:pPr>
      <w:keepNext/>
      <w:keepLines/>
      <w:spacing w:before="40" w:after="0" w:line="259" w:lineRule="auto"/>
      <w:ind w:left="3600" w:hanging="360"/>
      <w:outlineLvl w:val="4"/>
    </w:pPr>
    <w:rPr>
      <w:rFonts w:asciiTheme="majorHAnsi" w:eastAsiaTheme="majorEastAsia" w:hAnsiTheme="maj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E465D0"/>
    <w:pPr>
      <w:keepNext/>
      <w:keepLines/>
      <w:spacing w:before="40" w:after="0" w:line="259" w:lineRule="auto"/>
      <w:ind w:left="4320" w:hanging="180"/>
      <w:outlineLvl w:val="5"/>
    </w:pPr>
    <w:rPr>
      <w:rFonts w:asciiTheme="majorHAnsi" w:eastAsiaTheme="majorEastAsia" w:hAnsiTheme="majorHAnsi" w:cstheme="majorBidi"/>
      <w:color w:val="1F3763" w:themeColor="accent1" w:themeShade="7F"/>
      <w:szCs w:val="22"/>
    </w:rPr>
  </w:style>
  <w:style w:type="paragraph" w:styleId="Heading7">
    <w:name w:val="heading 7"/>
    <w:basedOn w:val="Normal"/>
    <w:next w:val="Normal"/>
    <w:link w:val="Heading7Char"/>
    <w:uiPriority w:val="9"/>
    <w:semiHidden/>
    <w:unhideWhenUsed/>
    <w:qFormat/>
    <w:rsid w:val="00E465D0"/>
    <w:pPr>
      <w:keepNext/>
      <w:keepLines/>
      <w:spacing w:before="40" w:after="0" w:line="259" w:lineRule="auto"/>
      <w:ind w:left="5040" w:hanging="360"/>
      <w:outlineLvl w:val="6"/>
    </w:pPr>
    <w:rPr>
      <w:rFonts w:asciiTheme="majorHAnsi" w:eastAsiaTheme="majorEastAsia" w:hAnsiTheme="majorHAnsi" w:cstheme="majorBidi"/>
      <w:i/>
      <w:iCs/>
      <w:color w:val="1F3763" w:themeColor="accent1" w:themeShade="7F"/>
      <w:szCs w:val="22"/>
    </w:rPr>
  </w:style>
  <w:style w:type="paragraph" w:styleId="Heading8">
    <w:name w:val="heading 8"/>
    <w:basedOn w:val="Normal"/>
    <w:next w:val="Normal"/>
    <w:link w:val="Heading8Char"/>
    <w:uiPriority w:val="9"/>
    <w:semiHidden/>
    <w:unhideWhenUsed/>
    <w:qFormat/>
    <w:rsid w:val="00E465D0"/>
    <w:pPr>
      <w:keepNext/>
      <w:keepLines/>
      <w:spacing w:before="40" w:after="0" w:line="259" w:lineRule="auto"/>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65D0"/>
    <w:pPr>
      <w:keepNext/>
      <w:keepLines/>
      <w:spacing w:before="40" w:after="0" w:line="259" w:lineRule="auto"/>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782"/>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371782"/>
    <w:rPr>
      <w:rFonts w:ascii="Times New Roman" w:eastAsiaTheme="majorEastAsia" w:hAnsi="Times New Roman" w:cs="Times New Roman"/>
      <w:b/>
      <w:bCs/>
      <w:sz w:val="24"/>
      <w:szCs w:val="24"/>
    </w:rPr>
  </w:style>
  <w:style w:type="paragraph" w:styleId="FootnoteText">
    <w:name w:val="footnote text"/>
    <w:basedOn w:val="Normal"/>
    <w:link w:val="FootnoteTextChar"/>
    <w:uiPriority w:val="99"/>
    <w:unhideWhenUsed/>
    <w:rsid w:val="00823364"/>
    <w:pPr>
      <w:spacing w:after="0"/>
    </w:pPr>
    <w:rPr>
      <w:sz w:val="20"/>
      <w:szCs w:val="20"/>
    </w:rPr>
  </w:style>
  <w:style w:type="character" w:customStyle="1" w:styleId="FootnoteTextChar">
    <w:name w:val="Footnote Text Char"/>
    <w:basedOn w:val="DefaultParagraphFont"/>
    <w:link w:val="FootnoteText"/>
    <w:uiPriority w:val="99"/>
    <w:rsid w:val="0082336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23364"/>
    <w:rPr>
      <w:vertAlign w:val="superscript"/>
    </w:rPr>
  </w:style>
  <w:style w:type="paragraph" w:styleId="ListParagraph">
    <w:name w:val="List Paragraph"/>
    <w:basedOn w:val="Normal"/>
    <w:uiPriority w:val="34"/>
    <w:qFormat/>
    <w:rsid w:val="00823364"/>
    <w:pPr>
      <w:spacing w:after="200" w:line="276" w:lineRule="auto"/>
      <w:ind w:left="720"/>
      <w:contextualSpacing/>
      <w:jc w:val="left"/>
    </w:pPr>
    <w:rPr>
      <w:rFonts w:ascii="Calibri" w:eastAsia="Calibri" w:hAnsi="Calibri"/>
      <w:sz w:val="22"/>
      <w:szCs w:val="22"/>
    </w:rPr>
  </w:style>
  <w:style w:type="character" w:customStyle="1" w:styleId="Heading3Char">
    <w:name w:val="Heading 3 Char"/>
    <w:basedOn w:val="DefaultParagraphFont"/>
    <w:link w:val="Heading3"/>
    <w:uiPriority w:val="9"/>
    <w:rsid w:val="004628FC"/>
    <w:rPr>
      <w:rFonts w:ascii="Times New Roman" w:eastAsiaTheme="majorEastAsia" w:hAnsi="Times New Roman" w:cs="Times New Roman"/>
      <w:i/>
      <w:iCs/>
      <w:sz w:val="24"/>
      <w:szCs w:val="24"/>
    </w:rPr>
  </w:style>
  <w:style w:type="character" w:styleId="Hyperlink">
    <w:name w:val="Hyperlink"/>
    <w:basedOn w:val="DefaultParagraphFont"/>
    <w:uiPriority w:val="99"/>
    <w:unhideWhenUsed/>
    <w:rsid w:val="00464D7F"/>
    <w:rPr>
      <w:color w:val="0563C1" w:themeColor="hyperlink"/>
      <w:u w:val="single"/>
    </w:rPr>
  </w:style>
  <w:style w:type="character" w:styleId="UnresolvedMention">
    <w:name w:val="Unresolved Mention"/>
    <w:basedOn w:val="DefaultParagraphFont"/>
    <w:uiPriority w:val="99"/>
    <w:semiHidden/>
    <w:unhideWhenUsed/>
    <w:rsid w:val="007A4303"/>
    <w:rPr>
      <w:color w:val="605E5C"/>
      <w:shd w:val="clear" w:color="auto" w:fill="E1DFDD"/>
    </w:rPr>
  </w:style>
  <w:style w:type="paragraph" w:styleId="Header">
    <w:name w:val="header"/>
    <w:basedOn w:val="Normal"/>
    <w:link w:val="HeaderChar"/>
    <w:uiPriority w:val="99"/>
    <w:unhideWhenUsed/>
    <w:rsid w:val="003D1B81"/>
    <w:pPr>
      <w:tabs>
        <w:tab w:val="center" w:pos="4680"/>
        <w:tab w:val="right" w:pos="9360"/>
      </w:tabs>
      <w:spacing w:after="0"/>
    </w:pPr>
  </w:style>
  <w:style w:type="character" w:customStyle="1" w:styleId="HeaderChar">
    <w:name w:val="Header Char"/>
    <w:basedOn w:val="DefaultParagraphFont"/>
    <w:link w:val="Header"/>
    <w:uiPriority w:val="99"/>
    <w:rsid w:val="003D1B81"/>
    <w:rPr>
      <w:rFonts w:ascii="Times New Roman" w:hAnsi="Times New Roman" w:cs="Times New Roman"/>
      <w:sz w:val="24"/>
      <w:szCs w:val="24"/>
    </w:rPr>
  </w:style>
  <w:style w:type="paragraph" w:styleId="Footer">
    <w:name w:val="footer"/>
    <w:basedOn w:val="Normal"/>
    <w:link w:val="FooterChar"/>
    <w:uiPriority w:val="99"/>
    <w:unhideWhenUsed/>
    <w:rsid w:val="003D1B81"/>
    <w:pPr>
      <w:tabs>
        <w:tab w:val="center" w:pos="4680"/>
        <w:tab w:val="right" w:pos="9360"/>
      </w:tabs>
      <w:spacing w:after="0"/>
    </w:pPr>
  </w:style>
  <w:style w:type="character" w:customStyle="1" w:styleId="FooterChar">
    <w:name w:val="Footer Char"/>
    <w:basedOn w:val="DefaultParagraphFont"/>
    <w:link w:val="Footer"/>
    <w:uiPriority w:val="99"/>
    <w:rsid w:val="003D1B81"/>
    <w:rPr>
      <w:rFonts w:ascii="Times New Roman" w:hAnsi="Times New Roman" w:cs="Times New Roman"/>
      <w:sz w:val="24"/>
      <w:szCs w:val="24"/>
    </w:rPr>
  </w:style>
  <w:style w:type="paragraph" w:styleId="Revision">
    <w:name w:val="Revision"/>
    <w:hidden/>
    <w:uiPriority w:val="99"/>
    <w:semiHidden/>
    <w:rsid w:val="002D478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F0785"/>
    <w:rPr>
      <w:sz w:val="16"/>
      <w:szCs w:val="16"/>
    </w:rPr>
  </w:style>
  <w:style w:type="paragraph" w:styleId="CommentText">
    <w:name w:val="annotation text"/>
    <w:basedOn w:val="Normal"/>
    <w:link w:val="CommentTextChar"/>
    <w:uiPriority w:val="99"/>
    <w:semiHidden/>
    <w:unhideWhenUsed/>
    <w:rsid w:val="00AF0785"/>
    <w:rPr>
      <w:sz w:val="20"/>
      <w:szCs w:val="20"/>
    </w:rPr>
  </w:style>
  <w:style w:type="character" w:customStyle="1" w:styleId="CommentTextChar">
    <w:name w:val="Comment Text Char"/>
    <w:basedOn w:val="DefaultParagraphFont"/>
    <w:link w:val="CommentText"/>
    <w:uiPriority w:val="99"/>
    <w:semiHidden/>
    <w:rsid w:val="00AF07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0785"/>
    <w:rPr>
      <w:b/>
      <w:bCs/>
    </w:rPr>
  </w:style>
  <w:style w:type="character" w:customStyle="1" w:styleId="CommentSubjectChar">
    <w:name w:val="Comment Subject Char"/>
    <w:basedOn w:val="CommentTextChar"/>
    <w:link w:val="CommentSubject"/>
    <w:uiPriority w:val="99"/>
    <w:semiHidden/>
    <w:rsid w:val="00AF0785"/>
    <w:rPr>
      <w:rFonts w:ascii="Times New Roman" w:hAnsi="Times New Roman" w:cs="Times New Roman"/>
      <w:b/>
      <w:bCs/>
      <w:sz w:val="20"/>
      <w:szCs w:val="20"/>
    </w:rPr>
  </w:style>
  <w:style w:type="paragraph" w:customStyle="1" w:styleId="Default">
    <w:name w:val="Default"/>
    <w:rsid w:val="00E0528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51137"/>
    <w:rPr>
      <w:color w:val="954F72" w:themeColor="followedHyperlink"/>
      <w:u w:val="single"/>
    </w:rPr>
  </w:style>
  <w:style w:type="paragraph" w:styleId="NormalWeb">
    <w:name w:val="Normal (Web)"/>
    <w:basedOn w:val="Normal"/>
    <w:uiPriority w:val="99"/>
    <w:unhideWhenUsed/>
    <w:rsid w:val="00904FE0"/>
    <w:pPr>
      <w:spacing w:before="100" w:beforeAutospacing="1" w:after="100" w:afterAutospacing="1"/>
      <w:jc w:val="left"/>
    </w:pPr>
    <w:rPr>
      <w:rFonts w:eastAsia="Times New Roman"/>
    </w:rPr>
  </w:style>
  <w:style w:type="paragraph" w:customStyle="1" w:styleId="whitespace-pre-wrap">
    <w:name w:val="whitespace-pre-wrap"/>
    <w:basedOn w:val="Normal"/>
    <w:rsid w:val="007525C0"/>
    <w:pPr>
      <w:spacing w:before="100" w:beforeAutospacing="1" w:after="100" w:afterAutospacing="1"/>
      <w:jc w:val="left"/>
    </w:pPr>
    <w:rPr>
      <w:rFonts w:eastAsia="Times New Roman"/>
    </w:rPr>
  </w:style>
  <w:style w:type="character" w:customStyle="1" w:styleId="anchor-text">
    <w:name w:val="anchor-text"/>
    <w:basedOn w:val="DefaultParagraphFont"/>
    <w:rsid w:val="00DC0E1D"/>
  </w:style>
  <w:style w:type="character" w:customStyle="1" w:styleId="Heading4Char">
    <w:name w:val="Heading 4 Char"/>
    <w:basedOn w:val="DefaultParagraphFont"/>
    <w:link w:val="Heading4"/>
    <w:rsid w:val="00E465D0"/>
    <w:rPr>
      <w:rFonts w:ascii="Times New Roman" w:eastAsiaTheme="majorEastAsia" w:hAnsi="Times New Roman" w:cs="Times New Roman"/>
      <w:i/>
      <w:sz w:val="24"/>
    </w:rPr>
  </w:style>
  <w:style w:type="character" w:customStyle="1" w:styleId="Heading5Char">
    <w:name w:val="Heading 5 Char"/>
    <w:basedOn w:val="DefaultParagraphFont"/>
    <w:link w:val="Heading5"/>
    <w:uiPriority w:val="9"/>
    <w:semiHidden/>
    <w:rsid w:val="00E465D0"/>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465D0"/>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465D0"/>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465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65D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46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465D0"/>
    <w:pPr>
      <w:keepNext/>
      <w:spacing w:after="200"/>
      <w:jc w:val="left"/>
    </w:pPr>
    <w:rPr>
      <w:b/>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9707">
      <w:bodyDiv w:val="1"/>
      <w:marLeft w:val="0"/>
      <w:marRight w:val="0"/>
      <w:marTop w:val="0"/>
      <w:marBottom w:val="0"/>
      <w:divBdr>
        <w:top w:val="none" w:sz="0" w:space="0" w:color="auto"/>
        <w:left w:val="none" w:sz="0" w:space="0" w:color="auto"/>
        <w:bottom w:val="none" w:sz="0" w:space="0" w:color="auto"/>
        <w:right w:val="none" w:sz="0" w:space="0" w:color="auto"/>
      </w:divBdr>
      <w:divsChild>
        <w:div w:id="586156370">
          <w:marLeft w:val="0"/>
          <w:marRight w:val="0"/>
          <w:marTop w:val="0"/>
          <w:marBottom w:val="0"/>
          <w:divBdr>
            <w:top w:val="none" w:sz="0" w:space="0" w:color="auto"/>
            <w:left w:val="none" w:sz="0" w:space="0" w:color="auto"/>
            <w:bottom w:val="none" w:sz="0" w:space="0" w:color="auto"/>
            <w:right w:val="none" w:sz="0" w:space="0" w:color="auto"/>
          </w:divBdr>
          <w:divsChild>
            <w:div w:id="1018385351">
              <w:marLeft w:val="0"/>
              <w:marRight w:val="0"/>
              <w:marTop w:val="0"/>
              <w:marBottom w:val="0"/>
              <w:divBdr>
                <w:top w:val="none" w:sz="0" w:space="0" w:color="auto"/>
                <w:left w:val="none" w:sz="0" w:space="0" w:color="auto"/>
                <w:bottom w:val="none" w:sz="0" w:space="0" w:color="auto"/>
                <w:right w:val="none" w:sz="0" w:space="0" w:color="auto"/>
              </w:divBdr>
              <w:divsChild>
                <w:div w:id="1704473859">
                  <w:marLeft w:val="0"/>
                  <w:marRight w:val="0"/>
                  <w:marTop w:val="0"/>
                  <w:marBottom w:val="0"/>
                  <w:divBdr>
                    <w:top w:val="none" w:sz="0" w:space="0" w:color="auto"/>
                    <w:left w:val="none" w:sz="0" w:space="0" w:color="auto"/>
                    <w:bottom w:val="none" w:sz="0" w:space="0" w:color="auto"/>
                    <w:right w:val="none" w:sz="0" w:space="0" w:color="auto"/>
                  </w:divBdr>
                  <w:divsChild>
                    <w:div w:id="1609191295">
                      <w:marLeft w:val="0"/>
                      <w:marRight w:val="0"/>
                      <w:marTop w:val="0"/>
                      <w:marBottom w:val="0"/>
                      <w:divBdr>
                        <w:top w:val="none" w:sz="0" w:space="0" w:color="auto"/>
                        <w:left w:val="none" w:sz="0" w:space="0" w:color="auto"/>
                        <w:bottom w:val="none" w:sz="0" w:space="0" w:color="auto"/>
                        <w:right w:val="none" w:sz="0" w:space="0" w:color="auto"/>
                      </w:divBdr>
                      <w:divsChild>
                        <w:div w:id="1903170861">
                          <w:marLeft w:val="0"/>
                          <w:marRight w:val="0"/>
                          <w:marTop w:val="0"/>
                          <w:marBottom w:val="0"/>
                          <w:divBdr>
                            <w:top w:val="none" w:sz="0" w:space="0" w:color="auto"/>
                            <w:left w:val="none" w:sz="0" w:space="0" w:color="auto"/>
                            <w:bottom w:val="none" w:sz="0" w:space="0" w:color="auto"/>
                            <w:right w:val="none" w:sz="0" w:space="0" w:color="auto"/>
                          </w:divBdr>
                          <w:divsChild>
                            <w:div w:id="37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832402">
      <w:bodyDiv w:val="1"/>
      <w:marLeft w:val="0"/>
      <w:marRight w:val="0"/>
      <w:marTop w:val="0"/>
      <w:marBottom w:val="0"/>
      <w:divBdr>
        <w:top w:val="none" w:sz="0" w:space="0" w:color="auto"/>
        <w:left w:val="none" w:sz="0" w:space="0" w:color="auto"/>
        <w:bottom w:val="none" w:sz="0" w:space="0" w:color="auto"/>
        <w:right w:val="none" w:sz="0" w:space="0" w:color="auto"/>
      </w:divBdr>
    </w:div>
    <w:div w:id="1167014306">
      <w:bodyDiv w:val="1"/>
      <w:marLeft w:val="0"/>
      <w:marRight w:val="0"/>
      <w:marTop w:val="0"/>
      <w:marBottom w:val="0"/>
      <w:divBdr>
        <w:top w:val="none" w:sz="0" w:space="0" w:color="auto"/>
        <w:left w:val="none" w:sz="0" w:space="0" w:color="auto"/>
        <w:bottom w:val="none" w:sz="0" w:space="0" w:color="auto"/>
        <w:right w:val="none" w:sz="0" w:space="0" w:color="auto"/>
      </w:divBdr>
    </w:div>
    <w:div w:id="1450513019">
      <w:bodyDiv w:val="1"/>
      <w:marLeft w:val="0"/>
      <w:marRight w:val="0"/>
      <w:marTop w:val="0"/>
      <w:marBottom w:val="0"/>
      <w:divBdr>
        <w:top w:val="none" w:sz="0" w:space="0" w:color="auto"/>
        <w:left w:val="none" w:sz="0" w:space="0" w:color="auto"/>
        <w:bottom w:val="none" w:sz="0" w:space="0" w:color="auto"/>
        <w:right w:val="none" w:sz="0" w:space="0" w:color="auto"/>
      </w:divBdr>
    </w:div>
    <w:div w:id="1992320461">
      <w:bodyDiv w:val="1"/>
      <w:marLeft w:val="0"/>
      <w:marRight w:val="0"/>
      <w:marTop w:val="0"/>
      <w:marBottom w:val="0"/>
      <w:divBdr>
        <w:top w:val="none" w:sz="0" w:space="0" w:color="auto"/>
        <w:left w:val="none" w:sz="0" w:space="0" w:color="auto"/>
        <w:bottom w:val="none" w:sz="0" w:space="0" w:color="auto"/>
        <w:right w:val="none" w:sz="0" w:space="0" w:color="auto"/>
      </w:divBdr>
    </w:div>
    <w:div w:id="20912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6.wmf"/><Relationship Id="rId42" Type="http://schemas.openxmlformats.org/officeDocument/2006/relationships/oleObject" Target="embeddings/oleObject17.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85.bin"/><Relationship Id="rId191" Type="http://schemas.openxmlformats.org/officeDocument/2006/relationships/image" Target="media/image85.wmf"/><Relationship Id="rId205" Type="http://schemas.openxmlformats.org/officeDocument/2006/relationships/image" Target="media/image92.wmf"/><Relationship Id="rId107" Type="http://schemas.openxmlformats.org/officeDocument/2006/relationships/oleObject" Target="embeddings/oleObject53.bin"/><Relationship Id="rId11" Type="http://schemas.openxmlformats.org/officeDocument/2006/relationships/image" Target="media/image1.wmf"/><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oleObject" Target="embeddings/oleObject34.bin"/><Relationship Id="rId128" Type="http://schemas.openxmlformats.org/officeDocument/2006/relationships/image" Target="media/image55.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80.bin"/><Relationship Id="rId181" Type="http://schemas.openxmlformats.org/officeDocument/2006/relationships/image" Target="media/image80.wmf"/><Relationship Id="rId216" Type="http://schemas.openxmlformats.org/officeDocument/2006/relationships/hyperlink" Target="https://www.epa.gov/sites/production/files/2014-03/documents/sld_userguide.pdf" TargetMode="External"/><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oleObject" Target="embeddings/oleObject28.bin"/><Relationship Id="rId118" Type="http://schemas.openxmlformats.org/officeDocument/2006/relationships/image" Target="media/image50.wmf"/><Relationship Id="rId139" Type="http://schemas.openxmlformats.org/officeDocument/2006/relationships/oleObject" Target="embeddings/oleObject69.bin"/><Relationship Id="rId85" Type="http://schemas.openxmlformats.org/officeDocument/2006/relationships/image" Target="media/image34.wmf"/><Relationship Id="rId150" Type="http://schemas.openxmlformats.org/officeDocument/2006/relationships/image" Target="media/image66.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image" Target="media/image45.wmf"/><Relationship Id="rId129" Type="http://schemas.openxmlformats.org/officeDocument/2006/relationships/oleObject" Target="embeddings/oleObject64.bin"/><Relationship Id="rId54" Type="http://schemas.openxmlformats.org/officeDocument/2006/relationships/oleObject" Target="embeddings/oleObject23.bin"/><Relationship Id="rId75" Type="http://schemas.openxmlformats.org/officeDocument/2006/relationships/image" Target="media/image31.wmf"/><Relationship Id="rId96" Type="http://schemas.openxmlformats.org/officeDocument/2006/relationships/oleObject" Target="embeddings/oleObject47.bin"/><Relationship Id="rId140" Type="http://schemas.openxmlformats.org/officeDocument/2006/relationships/image" Target="media/image61.wmf"/><Relationship Id="rId161" Type="http://schemas.openxmlformats.org/officeDocument/2006/relationships/image" Target="media/image71.wmf"/><Relationship Id="rId182" Type="http://schemas.openxmlformats.org/officeDocument/2006/relationships/oleObject" Target="embeddings/oleObject92.bin"/><Relationship Id="rId217" Type="http://schemas.openxmlformats.org/officeDocument/2006/relationships/hyperlink" Target="https://news.gallup.com/poll/355907/remote-work-persisting-trendingpermanent.aspx" TargetMode="External"/><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oleObject" Target="embeddings/oleObject59.bin"/><Relationship Id="rId44" Type="http://schemas.openxmlformats.org/officeDocument/2006/relationships/oleObject" Target="embeddings/oleObject18.bin"/><Relationship Id="rId65" Type="http://schemas.openxmlformats.org/officeDocument/2006/relationships/image" Target="media/image27.wmf"/><Relationship Id="rId86" Type="http://schemas.openxmlformats.org/officeDocument/2006/relationships/oleObject" Target="embeddings/oleObject42.bin"/><Relationship Id="rId130" Type="http://schemas.openxmlformats.org/officeDocument/2006/relationships/image" Target="media/image56.wmf"/><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image" Target="media/image86.wmf"/><Relationship Id="rId207" Type="http://schemas.openxmlformats.org/officeDocument/2006/relationships/image" Target="media/image93.wmf"/><Relationship Id="rId13" Type="http://schemas.openxmlformats.org/officeDocument/2006/relationships/image" Target="media/image2.wmf"/><Relationship Id="rId109" Type="http://schemas.openxmlformats.org/officeDocument/2006/relationships/oleObject" Target="embeddings/oleObject54.bin"/><Relationship Id="rId34" Type="http://schemas.openxmlformats.org/officeDocument/2006/relationships/oleObject" Target="embeddings/oleObject13.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0.wmf"/><Relationship Id="rId120" Type="http://schemas.openxmlformats.org/officeDocument/2006/relationships/image" Target="media/image51.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1.wmf"/><Relationship Id="rId218" Type="http://schemas.openxmlformats.org/officeDocument/2006/relationships/hyperlink" Target="https://doi.org/10.3386/w18859" TargetMode="External"/><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35.wmf"/><Relationship Id="rId110" Type="http://schemas.openxmlformats.org/officeDocument/2006/relationships/image" Target="media/image46.wmf"/><Relationship Id="rId131" Type="http://schemas.openxmlformats.org/officeDocument/2006/relationships/oleObject" Target="embeddings/oleObject65.bin"/><Relationship Id="rId152" Type="http://schemas.openxmlformats.org/officeDocument/2006/relationships/oleObject" Target="embeddings/oleObject76.bin"/><Relationship Id="rId173" Type="http://schemas.openxmlformats.org/officeDocument/2006/relationships/image" Target="media/image76.wmf"/><Relationship Id="rId194" Type="http://schemas.openxmlformats.org/officeDocument/2006/relationships/oleObject" Target="embeddings/oleObject98.bin"/><Relationship Id="rId208" Type="http://schemas.openxmlformats.org/officeDocument/2006/relationships/oleObject" Target="embeddings/oleObject105.bin"/><Relationship Id="rId14" Type="http://schemas.openxmlformats.org/officeDocument/2006/relationships/oleObject" Target="embeddings/oleObject2.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32.wmf"/><Relationship Id="rId100" Type="http://schemas.openxmlformats.org/officeDocument/2006/relationships/oleObject" Target="embeddings/oleObject49.bin"/><Relationship Id="rId8" Type="http://schemas.openxmlformats.org/officeDocument/2006/relationships/hyperlink" Target="mailto:kasmussen29@utexas.edu" TargetMode="External"/><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oleObject" Target="embeddings/oleObject93.bin"/><Relationship Id="rId219" Type="http://schemas.openxmlformats.org/officeDocument/2006/relationships/hyperlink" Target="https://www.bls.gov/news.release/atus.nr0.htm" TargetMode="External"/><Relationship Id="rId3" Type="http://schemas.openxmlformats.org/officeDocument/2006/relationships/styles" Target="styles.xml"/><Relationship Id="rId214" Type="http://schemas.openxmlformats.org/officeDocument/2006/relationships/hyperlink" Target="https://ssrn.com/abstract=4213516" TargetMode="Externa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image" Target="media/image33.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57.wmf"/><Relationship Id="rId153" Type="http://schemas.openxmlformats.org/officeDocument/2006/relationships/image" Target="media/image67.wmf"/><Relationship Id="rId174" Type="http://schemas.openxmlformats.org/officeDocument/2006/relationships/oleObject" Target="embeddings/oleObject88.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hyperlink" Target="https://www.ncci.com/SecureDocuments/QEB/QEB_Q4_2020_RemoteWork.html" TargetMode="External"/><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hyperlink" Target="https://www.census.gov/quickfacts/fact/table/minneapoliscityminnesota/PST045223" TargetMode="External"/><Relationship Id="rId225"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image" Target="media/image23.wmf"/><Relationship Id="rId106" Type="http://schemas.openxmlformats.org/officeDocument/2006/relationships/image" Target="media/image44.wmf"/><Relationship Id="rId127" Type="http://schemas.openxmlformats.org/officeDocument/2006/relationships/oleObject" Target="embeddings/oleObject63.bin"/><Relationship Id="rId10" Type="http://schemas.openxmlformats.org/officeDocument/2006/relationships/hyperlink" Target="mailto:bhat@mail.utexas.edu" TargetMode="Externa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0.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43" Type="http://schemas.openxmlformats.org/officeDocument/2006/relationships/oleObject" Target="embeddings/oleObject71.bin"/><Relationship Id="rId148" Type="http://schemas.openxmlformats.org/officeDocument/2006/relationships/image" Target="media/image65.wmf"/><Relationship Id="rId164" Type="http://schemas.openxmlformats.org/officeDocument/2006/relationships/oleObject" Target="embeddings/oleObject82.bin"/><Relationship Id="rId169" Type="http://schemas.openxmlformats.org/officeDocument/2006/relationships/image" Target="media/image75.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hyperlink" Target="mailto:angela.haddad@utexas.edu" TargetMode="External"/><Relationship Id="rId180" Type="http://schemas.openxmlformats.org/officeDocument/2006/relationships/oleObject" Target="embeddings/oleObject91.bin"/><Relationship Id="rId210" Type="http://schemas.openxmlformats.org/officeDocument/2006/relationships/hyperlink" Target="http://nhts.ornl.gov" TargetMode="External"/><Relationship Id="rId215" Type="http://schemas.openxmlformats.org/officeDocument/2006/relationships/hyperlink" Target="https://www.researchgate.net/profile/Sabrina-Pabilonia/publication/342117428_Telework_and_Time_Use_in_the_United_States/links/5ee80014458515814a627989/Telework-and-Time-Use-in-the-United-States.pdf" TargetMode="External"/><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30.bin"/><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77.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3.bin"/><Relationship Id="rId221" Type="http://schemas.openxmlformats.org/officeDocument/2006/relationships/hyperlink" Target="https://ssrn.com/abstract=4632592" TargetMode="External"/><Relationship Id="rId37" Type="http://schemas.openxmlformats.org/officeDocument/2006/relationships/image" Target="media/image13.wmf"/><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3.wmf"/><Relationship Id="rId90" Type="http://schemas.openxmlformats.org/officeDocument/2006/relationships/oleObject" Target="embeddings/oleObject44.bin"/><Relationship Id="rId165" Type="http://schemas.openxmlformats.org/officeDocument/2006/relationships/image" Target="media/image73.wmf"/><Relationship Id="rId186" Type="http://schemas.openxmlformats.org/officeDocument/2006/relationships/oleObject" Target="embeddings/oleObject94.bin"/><Relationship Id="rId211" Type="http://schemas.openxmlformats.org/officeDocument/2006/relationships/hyperlink" Target="http://nhts.ornl.gov" TargetMode="External"/><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6.bin"/><Relationship Id="rId134" Type="http://schemas.openxmlformats.org/officeDocument/2006/relationships/image" Target="media/image58.wmf"/><Relationship Id="rId80" Type="http://schemas.openxmlformats.org/officeDocument/2006/relationships/oleObject" Target="embeddings/oleObject38.bin"/><Relationship Id="rId155" Type="http://schemas.openxmlformats.org/officeDocument/2006/relationships/image" Target="media/image68.wmf"/><Relationship Id="rId176" Type="http://schemas.openxmlformats.org/officeDocument/2006/relationships/oleObject" Target="embeddings/oleObject89.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oleObject" Target="embeddings/oleObject51.bin"/><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image" Target="media/image37.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hyperlink" Target="https://metrocouncil.org/Transportation/Performance/Travel-Behavior-Inventory.aspx" TargetMode="External"/><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48.wmf"/><Relationship Id="rId60" Type="http://schemas.openxmlformats.org/officeDocument/2006/relationships/oleObject" Target="embeddings/oleObject26.bin"/><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78.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footer" Target="footer2.xml"/><Relationship Id="rId18" Type="http://schemas.openxmlformats.org/officeDocument/2006/relationships/oleObject" Target="embeddings/oleObject4.bin"/><Relationship Id="rId39" Type="http://schemas.openxmlformats.org/officeDocument/2006/relationships/image" Target="media/image14.wmf"/><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95.bin"/><Relationship Id="rId71" Type="http://schemas.openxmlformats.org/officeDocument/2006/relationships/image" Target="media/image29.wmf"/><Relationship Id="rId92" Type="http://schemas.openxmlformats.org/officeDocument/2006/relationships/oleObject" Target="embeddings/oleObject45.bin"/><Relationship Id="rId213" Type="http://schemas.openxmlformats.org/officeDocument/2006/relationships/hyperlink" Target="https://www.compareinternet.com/blog/a-brief-history-of-wifi/" TargetMode="External"/><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90.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image" Target="media/image5.wmf"/><Relationship Id="rId224" Type="http://schemas.openxmlformats.org/officeDocument/2006/relationships/fontTable" Target="fontTable.xml"/><Relationship Id="rId30" Type="http://schemas.openxmlformats.org/officeDocument/2006/relationships/image" Target="media/image10.wmf"/><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3.bin"/><Relationship Id="rId168" Type="http://schemas.openxmlformats.org/officeDocument/2006/relationships/oleObject" Target="embeddings/oleObject84.bin"/><Relationship Id="rId51" Type="http://schemas.openxmlformats.org/officeDocument/2006/relationships/image" Target="media/image20.wmf"/><Relationship Id="rId72" Type="http://schemas.openxmlformats.org/officeDocument/2006/relationships/oleObject" Target="embeddings/oleObject33.bin"/><Relationship Id="rId93" Type="http://schemas.openxmlformats.org/officeDocument/2006/relationships/image" Target="media/image38.wmf"/><Relationship Id="rId18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4943-0FD2-4AE7-9C46-FCE5BC6F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22749</Words>
  <Characters>129671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2024-03-15T18:13:00Z</cp:lastPrinted>
  <dcterms:created xsi:type="dcterms:W3CDTF">2024-08-05T22:11:00Z</dcterms:created>
  <dcterms:modified xsi:type="dcterms:W3CDTF">2024-08-05T22:11:00Z</dcterms:modified>
</cp:coreProperties>
</file>